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FEFC3" w14:textId="77777777" w:rsidR="00EE3125" w:rsidRPr="00EE3125" w:rsidRDefault="00EE3125" w:rsidP="00EE3125">
      <w:pPr>
        <w:spacing w:line="360" w:lineRule="auto"/>
        <w:jc w:val="both"/>
        <w:rPr>
          <w:rFonts w:ascii="Times New Roman" w:hAnsi="Times New Roman" w:cs="Times New Roman"/>
          <w:sz w:val="18"/>
          <w:szCs w:val="18"/>
        </w:rPr>
      </w:pPr>
    </w:p>
    <w:p w14:paraId="624E82A1" w14:textId="77777777" w:rsidR="00EE3125" w:rsidRPr="00EE3125" w:rsidRDefault="00EE3125" w:rsidP="00EE3125">
      <w:pPr>
        <w:spacing w:line="360" w:lineRule="auto"/>
        <w:jc w:val="both"/>
        <w:rPr>
          <w:rFonts w:ascii="Times New Roman" w:hAnsi="Times New Roman" w:cs="Times New Roman"/>
          <w:sz w:val="18"/>
          <w:szCs w:val="18"/>
        </w:rPr>
      </w:pPr>
    </w:p>
    <w:p w14:paraId="192841D8" w14:textId="77777777" w:rsidR="00EE3125" w:rsidRPr="00EE3125" w:rsidRDefault="00EE3125" w:rsidP="00EE3125">
      <w:pPr>
        <w:spacing w:line="360" w:lineRule="auto"/>
        <w:jc w:val="both"/>
        <w:rPr>
          <w:rFonts w:ascii="Times New Roman" w:hAnsi="Times New Roman" w:cs="Times New Roman"/>
          <w:sz w:val="18"/>
          <w:szCs w:val="18"/>
        </w:rPr>
      </w:pPr>
    </w:p>
    <w:p w14:paraId="24F8B135" w14:textId="77777777" w:rsidR="00EE3125" w:rsidRPr="00EE3125" w:rsidRDefault="00EE3125" w:rsidP="00EE3125">
      <w:pPr>
        <w:spacing w:line="360" w:lineRule="auto"/>
        <w:ind w:left="1416"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LA SORCELLERIE AU DESSUS DE LA FOI </w:t>
      </w:r>
    </w:p>
    <w:p w14:paraId="335D9FB1" w14:textId="77777777" w:rsidR="00EE3125" w:rsidRPr="00EE3125" w:rsidRDefault="00EE3125" w:rsidP="00EE3125">
      <w:pPr>
        <w:spacing w:line="360" w:lineRule="auto"/>
        <w:jc w:val="both"/>
        <w:rPr>
          <w:rFonts w:ascii="Times New Roman" w:hAnsi="Times New Roman" w:cs="Times New Roman"/>
          <w:sz w:val="18"/>
          <w:szCs w:val="18"/>
        </w:rPr>
      </w:pPr>
      <w:r w:rsidRPr="00EE3125">
        <w:rPr>
          <w:rFonts w:ascii="Times New Roman" w:hAnsi="Times New Roman" w:cs="Times New Roman"/>
          <w:sz w:val="18"/>
          <w:szCs w:val="18"/>
        </w:rPr>
        <w:t xml:space="preserve">Pourquoi le Mal, la Déviance spirituelle et la sorcellerie dominent-ils les hommes sur Terre </w:t>
      </w:r>
    </w:p>
    <w:p w14:paraId="1C3C6563" w14:textId="73B2F493" w:rsidR="00186A94" w:rsidRPr="00EE3125" w:rsidRDefault="00EE3125" w:rsidP="00EE3125">
      <w:pPr>
        <w:spacing w:line="360" w:lineRule="auto"/>
        <w:jc w:val="both"/>
        <w:rPr>
          <w:rFonts w:ascii="Times New Roman" w:hAnsi="Times New Roman" w:cs="Times New Roman"/>
          <w:sz w:val="18"/>
          <w:szCs w:val="18"/>
        </w:rPr>
      </w:pPr>
      <w:r w:rsidRPr="00EE3125">
        <w:rPr>
          <w:rFonts w:ascii="Times New Roman" w:hAnsi="Times New Roman" w:cs="Times New Roman"/>
          <w:sz w:val="18"/>
          <w:szCs w:val="18"/>
        </w:rPr>
        <w:t>Approche clinique de la Médecine Traditionnelle des Handicapés Spirituels (MTHS)</w:t>
      </w:r>
    </w:p>
    <w:p w14:paraId="1F618E93" w14:textId="7CA76960" w:rsidR="00EE3125" w:rsidRPr="00EE3125" w:rsidRDefault="00EE3125" w:rsidP="00EE3125">
      <w:pPr>
        <w:spacing w:line="360" w:lineRule="auto"/>
        <w:jc w:val="both"/>
        <w:rPr>
          <w:rFonts w:ascii="Times New Roman" w:hAnsi="Times New Roman" w:cs="Times New Roman"/>
          <w:sz w:val="18"/>
          <w:szCs w:val="18"/>
        </w:rPr>
      </w:pPr>
      <w:r w:rsidRPr="00EE3125">
        <w:rPr>
          <w:rFonts w:ascii="Times New Roman" w:hAnsi="Times New Roman" w:cs="Times New Roman"/>
          <w:sz w:val="18"/>
          <w:szCs w:val="18"/>
        </w:rPr>
        <w:br w:type="page"/>
      </w:r>
    </w:p>
    <w:p w14:paraId="3D828F1F" w14:textId="73E74BF4" w:rsidR="00EE3125" w:rsidRPr="00EE3125" w:rsidRDefault="00EE3125" w:rsidP="00EE3125">
      <w:pPr>
        <w:spacing w:line="360" w:lineRule="auto"/>
        <w:jc w:val="both"/>
        <w:rPr>
          <w:rFonts w:ascii="Times New Roman" w:hAnsi="Times New Roman" w:cs="Times New Roman"/>
          <w:sz w:val="18"/>
          <w:szCs w:val="18"/>
        </w:rPr>
      </w:pPr>
      <w:r w:rsidRPr="00EE3125">
        <w:rPr>
          <w:rFonts w:ascii="Times New Roman" w:hAnsi="Times New Roman" w:cs="Times New Roman"/>
          <w:sz w:val="18"/>
          <w:szCs w:val="18"/>
        </w:rPr>
        <w:lastRenderedPageBreak/>
        <w:t>LES CLÉFS DU SUCCÈS DE L’ÉCOLE DU FUTUR</w:t>
      </w:r>
    </w:p>
    <w:p w14:paraId="1A32FF1D"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1DF89EC7"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EE3125">
        <w:rPr>
          <w:rFonts w:ascii="Times New Roman" w:hAnsi="Times New Roman" w:cs="Times New Roman"/>
          <w:sz w:val="18"/>
          <w:szCs w:val="18"/>
        </w:rPr>
        <w:t>des cinq continent</w:t>
      </w:r>
      <w:proofErr w:type="gramEnd"/>
      <w:r w:rsidRPr="00EE3125">
        <w:rPr>
          <w:rFonts w:ascii="Times New Roman" w:hAnsi="Times New Roman" w:cs="Times New Roman"/>
          <w:sz w:val="18"/>
          <w:szCs w:val="18"/>
        </w:rPr>
        <w:t xml:space="preserve"> de la Planète Terre. </w:t>
      </w:r>
    </w:p>
    <w:p w14:paraId="73846CE8" w14:textId="3A530521"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NOTRE DEVISE : « Celui qui cache ses transgressions ne prospère point, mais celui qui les avoue et les délaisse obtient miséricorde » (Proverbe 28.13). </w:t>
      </w:r>
    </w:p>
    <w:p w14:paraId="4322F47C"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8 NOTRE RAISON D’ÊTRE : « Mon peuple périt faute de connaissance. Puisque tu as rejeté la connaissance, Je te rejetterai, et tu seras dépouillé de mon </w:t>
      </w:r>
      <w:proofErr w:type="gramStart"/>
      <w:r w:rsidRPr="00EE3125">
        <w:rPr>
          <w:rFonts w:ascii="Times New Roman" w:hAnsi="Times New Roman" w:cs="Times New Roman"/>
          <w:sz w:val="18"/>
          <w:szCs w:val="18"/>
        </w:rPr>
        <w:t>sacerdoce;</w:t>
      </w:r>
      <w:proofErr w:type="gramEnd"/>
      <w:r w:rsidRPr="00EE3125">
        <w:rPr>
          <w:rFonts w:ascii="Times New Roman" w:hAnsi="Times New Roman" w:cs="Times New Roman"/>
          <w:sz w:val="18"/>
          <w:szCs w:val="18"/>
        </w:rPr>
        <w:t xml:space="preserve"> Puisque tu as oublié la loi de ton Dieu, J'oublierai aussi tes enfants » (OSEE 4.6). </w:t>
      </w:r>
    </w:p>
    <w:p w14:paraId="303B835F"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NOTRE METHODE DE TRANSFORMATION : « </w:t>
      </w:r>
      <w:proofErr w:type="gramStart"/>
      <w:r w:rsidRPr="00EE3125">
        <w:rPr>
          <w:rFonts w:ascii="Times New Roman" w:hAnsi="Times New Roman" w:cs="Times New Roman"/>
          <w:sz w:val="18"/>
          <w:szCs w:val="18"/>
        </w:rPr>
        <w:t>Homme!!!</w:t>
      </w:r>
      <w:proofErr w:type="gramEnd"/>
      <w:r w:rsidRPr="00EE3125">
        <w:rPr>
          <w:rFonts w:ascii="Times New Roman" w:hAnsi="Times New Roman" w:cs="Times New Roman"/>
          <w:sz w:val="18"/>
          <w:szCs w:val="18"/>
        </w:rPr>
        <w:t xml:space="preserve"> connais-toi d'abord spirituellement toi-</w:t>
      </w:r>
      <w:proofErr w:type="gramStart"/>
      <w:r w:rsidRPr="00EE3125">
        <w:rPr>
          <w:rFonts w:ascii="Times New Roman" w:hAnsi="Times New Roman" w:cs="Times New Roman"/>
          <w:sz w:val="18"/>
          <w:szCs w:val="18"/>
        </w:rPr>
        <w:t>même;</w:t>
      </w:r>
      <w:proofErr w:type="gramEnd"/>
      <w:r w:rsidRPr="00EE3125">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02C61CF8"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1239A2B5" w14:textId="762BA0D6"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(Jean Paul Sylvain SIDA ABENA)</w:t>
      </w:r>
    </w:p>
    <w:p w14:paraId="36DE7C5F" w14:textId="10560D71" w:rsidR="00EE3125" w:rsidRPr="00EE3125" w:rsidRDefault="00EE3125" w:rsidP="00EE3125">
      <w:pPr>
        <w:spacing w:line="360" w:lineRule="auto"/>
        <w:jc w:val="both"/>
        <w:rPr>
          <w:rFonts w:ascii="Times New Roman" w:hAnsi="Times New Roman" w:cs="Times New Roman"/>
          <w:sz w:val="18"/>
          <w:szCs w:val="18"/>
        </w:rPr>
      </w:pPr>
      <w:r w:rsidRPr="00EE3125">
        <w:rPr>
          <w:rFonts w:ascii="Times New Roman" w:hAnsi="Times New Roman" w:cs="Times New Roman"/>
          <w:sz w:val="18"/>
          <w:szCs w:val="18"/>
        </w:rPr>
        <w:br w:type="page"/>
      </w:r>
    </w:p>
    <w:p w14:paraId="504E5070" w14:textId="2512B274"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lastRenderedPageBreak/>
        <w:t>SOMMAIRE</w:t>
      </w:r>
    </w:p>
    <w:p w14:paraId="65D97676"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Préface……………………………………………………………………</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P.12 Avant-propos……………………………………………………………</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.P.16 </w:t>
      </w:r>
    </w:p>
    <w:p w14:paraId="0D0B6B41"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 xml:space="preserve">Introduction générale…………………………………………………………P.23 </w:t>
      </w:r>
    </w:p>
    <w:p w14:paraId="494684C4"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PARTIE I : FONDEMENTS THÉORIQUES ET CONCEPTUELS…</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.P.33 </w:t>
      </w:r>
    </w:p>
    <w:p w14:paraId="5378BBFA"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 xml:space="preserve">Chapitre 1 : Le Mal comme réalité multidimensionnelle……………………P.34 </w:t>
      </w:r>
    </w:p>
    <w:p w14:paraId="2401D542"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Chapitre 2 : La sorcellerie dans les sociétés africaines………………</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P.43 </w:t>
      </w:r>
    </w:p>
    <w:p w14:paraId="5CDD8D38"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 xml:space="preserve">Chapitre 3 : Foi chrétienne et combat spirituel………………………………P.52 </w:t>
      </w:r>
    </w:p>
    <w:p w14:paraId="470C17BF"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 xml:space="preserve">Chapitre 4 : Déviance spirituelle et désordre existentiel……………………P.61 </w:t>
      </w:r>
    </w:p>
    <w:p w14:paraId="7F844784"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PARTIE II : APPROCHE CLINIQUE DU HANDICAP SPIRITUEL…</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P.71 </w:t>
      </w:r>
    </w:p>
    <w:p w14:paraId="11D5CF98"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Chapitre 5 : Concept de handicap spirituel……………………………</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P.72 </w:t>
      </w:r>
    </w:p>
    <w:p w14:paraId="08F2DF28"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 xml:space="preserve">Chapitre 6 : Modèle tridimensionnel de la MTHS…………………………...P.82 </w:t>
      </w:r>
    </w:p>
    <w:p w14:paraId="6D0545FE"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Chapitre 7 : Diagnostic différentiel en MTHS…………………………</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.P.92 </w:t>
      </w:r>
    </w:p>
    <w:p w14:paraId="060F5A74"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Chapitre 8 : Études de cas cliniques……………………………………</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P.102 </w:t>
      </w:r>
    </w:p>
    <w:p w14:paraId="27D85F48"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 xml:space="preserve">PARTIE III : DYNAMIQUES SOCIOCULTURELLES ET CONSTRUCTION DU MAL………………………………………………...P.112 </w:t>
      </w:r>
    </w:p>
    <w:p w14:paraId="5ABC306E"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 xml:space="preserve">Chapitre 9 : La sorcellerie comme système explicatif………………………P.113 </w:t>
      </w:r>
    </w:p>
    <w:p w14:paraId="5096ED9F"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 xml:space="preserve">Chapitre 10 : Peur, croyance et pouvoir……………………………………...P.122 </w:t>
      </w:r>
    </w:p>
    <w:p w14:paraId="70A09370"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 xml:space="preserve">Chapitre 11 : Responsabilité individuelle et collective……………………...P.131 </w:t>
      </w:r>
    </w:p>
    <w:p w14:paraId="08EEE822"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PARTIE IV : LECTURE THÉOLOGIQUE ET SPIRITUELLE………</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.P.139 </w:t>
      </w:r>
    </w:p>
    <w:p w14:paraId="10DB269D"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Chapitre 12 : Le combat cosmique et la condition humaine…………</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P.140 </w:t>
      </w:r>
    </w:p>
    <w:p w14:paraId="3B51A0C0"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 xml:space="preserve">Chapitre 13 : Pourquoi la foi semble faible ?.............................................P.148 </w:t>
      </w:r>
    </w:p>
    <w:p w14:paraId="5CE1F7B9"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Chapitre 14 : Autorité spirituelle et libération…………………………</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.P.157 </w:t>
      </w:r>
    </w:p>
    <w:p w14:paraId="0D129E1B"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PARTIE V : MODÈLE D’INTERVENTION DE LA MTHS………</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.…...P.165 </w:t>
      </w:r>
    </w:p>
    <w:p w14:paraId="51E7C663"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lastRenderedPageBreak/>
        <w:t>Chapitre 15 : Principes de la prise en charge de la MTHS</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.…………P.166 </w:t>
      </w:r>
    </w:p>
    <w:p w14:paraId="3865021A"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Chapitre 16 : Outils thérapeutiques intégrés…………………………</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.P.175 </w:t>
      </w:r>
    </w:p>
    <w:p w14:paraId="41B1F553"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Chapitre 17 : Processus de restauration………………………………</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P.183 </w:t>
      </w:r>
    </w:p>
    <w:p w14:paraId="75ECA2C7"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Chapitre 18 : Prévention et éducation…………………………………</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P.193 </w:t>
      </w:r>
    </w:p>
    <w:p w14:paraId="7D5EF488" w14:textId="77777777"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Conclusion générale……………………………………………………</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 xml:space="preserve">P.201 </w:t>
      </w:r>
    </w:p>
    <w:p w14:paraId="2586C835" w14:textId="122DAD53"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t>Plan de localisation du Centre de MTHS d’ABILI (Cameroun)…</w:t>
      </w:r>
      <w:proofErr w:type="gramStart"/>
      <w:r w:rsidRPr="00EE3125">
        <w:rPr>
          <w:rFonts w:ascii="Times New Roman" w:hAnsi="Times New Roman" w:cs="Times New Roman"/>
          <w:sz w:val="16"/>
          <w:szCs w:val="16"/>
        </w:rPr>
        <w:t>…….</w:t>
      </w:r>
      <w:proofErr w:type="gramEnd"/>
      <w:r w:rsidRPr="00EE3125">
        <w:rPr>
          <w:rFonts w:ascii="Times New Roman" w:hAnsi="Times New Roman" w:cs="Times New Roman"/>
          <w:sz w:val="16"/>
          <w:szCs w:val="16"/>
        </w:rPr>
        <w:t>.P.211</w:t>
      </w:r>
    </w:p>
    <w:p w14:paraId="0156183F" w14:textId="5EECDC96" w:rsidR="00EE3125" w:rsidRPr="00EE3125" w:rsidRDefault="00EE3125" w:rsidP="00EE3125">
      <w:pPr>
        <w:spacing w:line="360" w:lineRule="auto"/>
        <w:jc w:val="both"/>
        <w:rPr>
          <w:rFonts w:ascii="Times New Roman" w:hAnsi="Times New Roman" w:cs="Times New Roman"/>
          <w:sz w:val="16"/>
          <w:szCs w:val="16"/>
        </w:rPr>
      </w:pPr>
      <w:r w:rsidRPr="00EE3125">
        <w:rPr>
          <w:rFonts w:ascii="Times New Roman" w:hAnsi="Times New Roman" w:cs="Times New Roman"/>
          <w:sz w:val="16"/>
          <w:szCs w:val="16"/>
        </w:rPr>
        <w:br w:type="page"/>
      </w:r>
    </w:p>
    <w:p w14:paraId="3FD74D12" w14:textId="3461C65F" w:rsidR="00EE3125" w:rsidRPr="00EE3125" w:rsidRDefault="00EE3125" w:rsidP="00EE3125">
      <w:pPr>
        <w:spacing w:line="360" w:lineRule="auto"/>
        <w:jc w:val="both"/>
        <w:rPr>
          <w:rFonts w:ascii="Times New Roman" w:hAnsi="Times New Roman" w:cs="Times New Roman"/>
          <w:sz w:val="18"/>
          <w:szCs w:val="18"/>
        </w:rPr>
      </w:pPr>
      <w:r w:rsidRPr="00EE3125">
        <w:rPr>
          <w:rFonts w:ascii="Times New Roman" w:hAnsi="Times New Roman" w:cs="Times New Roman"/>
          <w:sz w:val="18"/>
          <w:szCs w:val="18"/>
        </w:rPr>
        <w:lastRenderedPageBreak/>
        <w:t>PREFACE</w:t>
      </w:r>
    </w:p>
    <w:p w14:paraId="01B1BEE4"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Il est des livres qui ne naissent pas seulement de l’encre et du papier, mais des combats invisibles que l’âme humaine traverse dans les profondeurs de son existence. L’ouvrage que vous tenez entre vos mains, La sorcellerie au-dessus de la foi : pourquoi le Mal, la déviance spirituelle et la sorcellerie dominent-ils les hommes sur Terre, appartient à cette catégorie de révélations qui dérangent, interrogent et réveillent. Dès les premières lignes, une réalité s’impose : l’homme moderne, malgré ses avancées techniques, demeure un être confronté à des forces qu’il ne maîtrise pas entièrement. Ces forces, que les Saintes Écritures décrivent comme des puissances de ténèbres, continuent d’agir dans les replis de l’histoire humaine, non pas toujours comme des entités visibles, mais comme des influences, des oppressions, des confusions et des désordres intérieurs. </w:t>
      </w:r>
    </w:p>
    <w:p w14:paraId="6187375F"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L’Écriture nous avertit clairement : « Nous n’avons pas à lutter contre la chair et le sang, mais contre les dominations, contre les autorités, contre les princes de ce monde de ténèbres… » (Éphésiens </w:t>
      </w:r>
      <w:proofErr w:type="gramStart"/>
      <w:r w:rsidRPr="00EE3125">
        <w:rPr>
          <w:rFonts w:ascii="Times New Roman" w:hAnsi="Times New Roman" w:cs="Times New Roman"/>
          <w:sz w:val="18"/>
          <w:szCs w:val="18"/>
        </w:rPr>
        <w:t>6:</w:t>
      </w:r>
      <w:proofErr w:type="gramEnd"/>
      <w:r w:rsidRPr="00EE3125">
        <w:rPr>
          <w:rFonts w:ascii="Times New Roman" w:hAnsi="Times New Roman" w:cs="Times New Roman"/>
          <w:sz w:val="18"/>
          <w:szCs w:val="18"/>
        </w:rPr>
        <w:t xml:space="preserve">12) Ce verset, souvent lu mais rarement médité dans toute sa profondeur, constitue une clé essentielle pour comprendre la démarche de cet ouvrage. L’auteur ne se limite pas à une lecture superficielle des phénomènes humains. Il tente, avec audace, de dévoiler la dimension invisible des luttes qui traversent la condition humaine.  </w:t>
      </w:r>
    </w:p>
    <w:p w14:paraId="756794C2"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Dans la tradition spirituelle chrétienne, le mal n’est pas une abstraction. Il est une réalité dynamique qui cherche à désorienter l’homme, à troubler sa relation avec Dieu, et à détruire son équilibre intérieur. La sorcellerie, dans cette perspective, n’est pas seulement un fait culturel ou symbolique : elle est perçue comme une manifestation des œuvres de la confusion, de la peur et de la rupture de l’ordre divin dans la vie des hommes. Cependant, il convient de lire ce livre avec discernement et prière. Car toute exploration des réalités spirituelles exige un cœur éclairé et un esprit humble. L’auteur propose ici une grille de lecture qui mêle observation des réalités sociales, interprétation des souffrances humaines et lecture spirituelle des </w:t>
      </w:r>
      <w:r w:rsidRPr="00EE3125">
        <w:rPr>
          <w:rFonts w:ascii="Times New Roman" w:hAnsi="Times New Roman" w:cs="Times New Roman"/>
          <w:sz w:val="18"/>
          <w:szCs w:val="18"/>
        </w:rPr>
        <w:lastRenderedPageBreak/>
        <w:t xml:space="preserve">phénomènes invisibles. Ce travail s’inscrit dans une démarche de compréhension globale de l’homme : corps, âme et esprit. Il rappelle que les crises que traversent les individus ne sont pas toujours uniquement psychologiques ou sociales, mais peuvent aussi être perçues, dans certaines traditions, comme des déséquilibres spirituels nécessitant une restauration profonde. </w:t>
      </w:r>
    </w:p>
    <w:p w14:paraId="49F4F708"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Le Christ Lui-même a affronté les puissances des ténèbres, non pour nous laisser dans la peur, mais pour nous enseigner l’autorité de la foi. C’est pourquoi ce livre ne doit pas être lu comme une source d’angoisse, mais comme un appel à la vigilance, à la prière et au discernement. « Soumettez-vous donc à Dieu ; résistez au diable, et il fuira loin de vous » (Jacques </w:t>
      </w:r>
      <w:proofErr w:type="gramStart"/>
      <w:r w:rsidRPr="00EE3125">
        <w:rPr>
          <w:rFonts w:ascii="Times New Roman" w:hAnsi="Times New Roman" w:cs="Times New Roman"/>
          <w:sz w:val="18"/>
          <w:szCs w:val="18"/>
        </w:rPr>
        <w:t>4:</w:t>
      </w:r>
      <w:proofErr w:type="gramEnd"/>
      <w:r w:rsidRPr="00EE3125">
        <w:rPr>
          <w:rFonts w:ascii="Times New Roman" w:hAnsi="Times New Roman" w:cs="Times New Roman"/>
          <w:sz w:val="18"/>
          <w:szCs w:val="18"/>
        </w:rPr>
        <w:t xml:space="preserve">7) Cette parole demeure un pilier central de toute compréhension chrétienne du combat spirituel. Elle rappelle que la victoire n’est pas dans la peur, mais dans la soumission à la lumière divine. Ainsi, cet ouvrage se présente comme une invitation : une invitation à regarder au-delà du visible, non pour sombrer dans l’obsession du mal, mais pour renforcer la conscience du combat intérieur que chaque être humain est appelé à mener. Bénis soit ce travail pour sa sincérité, sa profondeur et son audace. Puisse-t-il être pour certains une lumière dans l’obscurité, et pour d’autres un appel au retour à la vigilance spirituelle. </w:t>
      </w:r>
    </w:p>
    <w:p w14:paraId="04473570" w14:textId="21C2D1BD"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L’EDITEUR</w:t>
      </w:r>
    </w:p>
    <w:p w14:paraId="3B12CCAB" w14:textId="5B429DD4" w:rsidR="00EE3125" w:rsidRPr="00EE3125" w:rsidRDefault="00EE3125" w:rsidP="00EE3125">
      <w:pPr>
        <w:spacing w:line="360" w:lineRule="auto"/>
        <w:jc w:val="both"/>
        <w:rPr>
          <w:rFonts w:ascii="Times New Roman" w:hAnsi="Times New Roman" w:cs="Times New Roman"/>
          <w:sz w:val="18"/>
          <w:szCs w:val="18"/>
        </w:rPr>
      </w:pPr>
      <w:r w:rsidRPr="00EE3125">
        <w:rPr>
          <w:rFonts w:ascii="Times New Roman" w:hAnsi="Times New Roman" w:cs="Times New Roman"/>
          <w:sz w:val="18"/>
          <w:szCs w:val="18"/>
        </w:rPr>
        <w:br w:type="page"/>
      </w:r>
    </w:p>
    <w:p w14:paraId="25ADA276" w14:textId="36A10EE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lastRenderedPageBreak/>
        <w:t>AVANT-PROPOS</w:t>
      </w:r>
    </w:p>
    <w:p w14:paraId="0153ABD2"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Quand l’invisible façonne le visible Il existe, au cœur de l’expérience humaine, une interrogation silencieuse mais persistante, une question que les générations se transmettent sans jamais véritablement l’épuiser : pourquoi le mal semble-t-il si puissant, si omniprésent, si enraciné dans le quotidien des hommes ? Dans les villages reculés comme dans les métropoles modernes, dans les familles comme dans les institutions, un même constat traverse les récits : des destins brisés sans cause apparente, des échecs répétés malgré les efforts, des maladies résistantes aux traitements, des conflits inexplicables, des vies suspendues à une force invisible que l’on redoute sans toujours la comprendre. </w:t>
      </w:r>
    </w:p>
    <w:p w14:paraId="2398D56D"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En Afrique, et particulièrement dans les sociétés subsahariennes, cette réalité prend un nom : la sorcellerie. Mais la sorcellerie n’est pas seulement une croyance. Elle est une grille de lecture du monde, un système d’interprétation du malheur, une tentative de donner du sens à ce qui échappe à la logique immédiate. Elle est à la fois explication, accusation, protection et parfois même justification. Elle habite les discours, structure les relations, influence les </w:t>
      </w:r>
      <w:proofErr w:type="spellStart"/>
      <w:proofErr w:type="gramStart"/>
      <w:r w:rsidRPr="00EE3125">
        <w:rPr>
          <w:rFonts w:ascii="Times New Roman" w:hAnsi="Times New Roman" w:cs="Times New Roman"/>
          <w:sz w:val="18"/>
          <w:szCs w:val="18"/>
        </w:rPr>
        <w:t>décisions.Et</w:t>
      </w:r>
      <w:proofErr w:type="spellEnd"/>
      <w:proofErr w:type="gramEnd"/>
      <w:r w:rsidRPr="00EE3125">
        <w:rPr>
          <w:rFonts w:ascii="Times New Roman" w:hAnsi="Times New Roman" w:cs="Times New Roman"/>
          <w:sz w:val="18"/>
          <w:szCs w:val="18"/>
        </w:rPr>
        <w:t xml:space="preserve"> pourtant, face à cette puissance apparente de l’invisible, une autre réalité s’impose : celle de la foi. La foi, entendue ici dans sa dimension chrétienne, affirme une vérité radicale : le mal n’est ni souverain, ni absolu, ni invincible. Elle proclame que la lumière existe, qu’elle précède les ténèbres et qu’elle les surpasse, même lorsque celles-ci semblent dominer. « La lumière luit dans les ténèbres, et les ténèbres ne l’ont point reçue » (Jean </w:t>
      </w:r>
      <w:proofErr w:type="gramStart"/>
      <w:r w:rsidRPr="00EE3125">
        <w:rPr>
          <w:rFonts w:ascii="Times New Roman" w:hAnsi="Times New Roman" w:cs="Times New Roman"/>
          <w:sz w:val="18"/>
          <w:szCs w:val="18"/>
        </w:rPr>
        <w:t>1:</w:t>
      </w:r>
      <w:proofErr w:type="gramEnd"/>
      <w:r w:rsidRPr="00EE3125">
        <w:rPr>
          <w:rFonts w:ascii="Times New Roman" w:hAnsi="Times New Roman" w:cs="Times New Roman"/>
          <w:sz w:val="18"/>
          <w:szCs w:val="18"/>
        </w:rPr>
        <w:t xml:space="preserve">5). Dès lors, une tension fondamentale apparaît : si la foi affirme la victoire du bien, pourquoi la sorcellerie semble-t-elle, dans l’expérience concrète, exercer une domination sur les </w:t>
      </w:r>
      <w:proofErr w:type="gramStart"/>
      <w:r w:rsidRPr="00EE3125">
        <w:rPr>
          <w:rFonts w:ascii="Times New Roman" w:hAnsi="Times New Roman" w:cs="Times New Roman"/>
          <w:sz w:val="18"/>
          <w:szCs w:val="18"/>
        </w:rPr>
        <w:t>hommes?</w:t>
      </w:r>
      <w:proofErr w:type="gramEnd"/>
      <w:r w:rsidRPr="00EE3125">
        <w:rPr>
          <w:rFonts w:ascii="Times New Roman" w:hAnsi="Times New Roman" w:cs="Times New Roman"/>
          <w:sz w:val="18"/>
          <w:szCs w:val="18"/>
        </w:rPr>
        <w:t xml:space="preserve"> Ce livre est né de cette tension. </w:t>
      </w:r>
    </w:p>
    <w:p w14:paraId="7CC10C8E"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Une problématique au croisement des mondes. Loin des simplifications réductrices, cet ouvrage propose d’entrer dans une compréhension profonde et multidimensionnelle du phénomène. Il ne s’agit ni de nier la réalité vécue des populations, ni de céder à une vision fataliste du mal, mais de construire un cadre d’analyse rigoureux, capable </w:t>
      </w:r>
      <w:proofErr w:type="gramStart"/>
      <w:r w:rsidRPr="00EE3125">
        <w:rPr>
          <w:rFonts w:ascii="Times New Roman" w:hAnsi="Times New Roman" w:cs="Times New Roman"/>
          <w:sz w:val="18"/>
          <w:szCs w:val="18"/>
        </w:rPr>
        <w:t>d’articuler:</w:t>
      </w:r>
      <w:proofErr w:type="gramEnd"/>
      <w:r w:rsidRPr="00EE3125">
        <w:rPr>
          <w:rFonts w:ascii="Times New Roman" w:hAnsi="Times New Roman" w:cs="Times New Roman"/>
          <w:sz w:val="18"/>
          <w:szCs w:val="18"/>
        </w:rPr>
        <w:t xml:space="preserve"> </w:t>
      </w:r>
    </w:p>
    <w:p w14:paraId="79863A56"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lastRenderedPageBreak/>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les</w:t>
      </w:r>
      <w:proofErr w:type="gramEnd"/>
      <w:r w:rsidRPr="00EE3125">
        <w:rPr>
          <w:rFonts w:ascii="Times New Roman" w:hAnsi="Times New Roman" w:cs="Times New Roman"/>
          <w:sz w:val="18"/>
          <w:szCs w:val="18"/>
        </w:rPr>
        <w:t xml:space="preserve"> apports de l’anthropologie de la santé </w:t>
      </w:r>
    </w:p>
    <w:p w14:paraId="15897B6F"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les</w:t>
      </w:r>
      <w:proofErr w:type="gramEnd"/>
      <w:r w:rsidRPr="00EE3125">
        <w:rPr>
          <w:rFonts w:ascii="Times New Roman" w:hAnsi="Times New Roman" w:cs="Times New Roman"/>
          <w:sz w:val="18"/>
          <w:szCs w:val="18"/>
        </w:rPr>
        <w:t xml:space="preserve"> données de la psychologie clinique </w:t>
      </w:r>
    </w:p>
    <w:p w14:paraId="0150EEB0"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les</w:t>
      </w:r>
      <w:proofErr w:type="gramEnd"/>
      <w:r w:rsidRPr="00EE3125">
        <w:rPr>
          <w:rFonts w:ascii="Times New Roman" w:hAnsi="Times New Roman" w:cs="Times New Roman"/>
          <w:sz w:val="18"/>
          <w:szCs w:val="18"/>
        </w:rPr>
        <w:t xml:space="preserve"> dynamiques socioculturelles africaines </w:t>
      </w:r>
    </w:p>
    <w:p w14:paraId="2F12893E"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et</w:t>
      </w:r>
      <w:proofErr w:type="gramEnd"/>
      <w:r w:rsidRPr="00EE3125">
        <w:rPr>
          <w:rFonts w:ascii="Times New Roman" w:hAnsi="Times New Roman" w:cs="Times New Roman"/>
          <w:sz w:val="18"/>
          <w:szCs w:val="18"/>
        </w:rPr>
        <w:t xml:space="preserve"> la lecture théologique des Écritures Car le mal, la déviance spirituelle et la sorcellerie ne relèvent pas d’une seule explication. Ils émergent à l’intersection de plusieurs dimensions : biologique, psychique, sociale et spirituelle.</w:t>
      </w:r>
      <w:r w:rsidRPr="00EE3125">
        <w:rPr>
          <w:rFonts w:ascii="Times New Roman" w:hAnsi="Times New Roman" w:cs="Times New Roman"/>
          <w:sz w:val="18"/>
          <w:szCs w:val="18"/>
        </w:rPr>
        <w:t xml:space="preserve"> </w:t>
      </w:r>
    </w:p>
    <w:p w14:paraId="130324F5"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Une intuition fondatrice : le handicap spirituel Au fil des observations de terrain, des accompagnements individuels et des expériences accumulées dans les contextes africains, une hypothèse s’est progressivement imposée : certains états de souffrance humaine ne peuvent être pleinement compris sans prendre en compte ce que nous appelons un handicap spirituel. Ce concept, au cœur de la Médecine Traditionnelle des Handicapés Spirituels (MTHS), désigne une situation dans laquelle l’individu, bien que biologiquement sain ou socialement intégré, présente une désorganisation profonde de son équilibre intérieur, affectant simultanément : </w:t>
      </w:r>
    </w:p>
    <w:p w14:paraId="6BDD11BC"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ses</w:t>
      </w:r>
      <w:proofErr w:type="gramEnd"/>
      <w:r w:rsidRPr="00EE3125">
        <w:rPr>
          <w:rFonts w:ascii="Times New Roman" w:hAnsi="Times New Roman" w:cs="Times New Roman"/>
          <w:sz w:val="18"/>
          <w:szCs w:val="18"/>
        </w:rPr>
        <w:t xml:space="preserve"> pensées </w:t>
      </w:r>
    </w:p>
    <w:p w14:paraId="278BF9FA"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ses</w:t>
      </w:r>
      <w:proofErr w:type="gramEnd"/>
      <w:r w:rsidRPr="00EE3125">
        <w:rPr>
          <w:rFonts w:ascii="Times New Roman" w:hAnsi="Times New Roman" w:cs="Times New Roman"/>
          <w:sz w:val="18"/>
          <w:szCs w:val="18"/>
        </w:rPr>
        <w:t xml:space="preserve"> émotions </w:t>
      </w:r>
    </w:p>
    <w:p w14:paraId="1D2E6B68"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ses</w:t>
      </w:r>
      <w:proofErr w:type="gramEnd"/>
      <w:r w:rsidRPr="00EE3125">
        <w:rPr>
          <w:rFonts w:ascii="Times New Roman" w:hAnsi="Times New Roman" w:cs="Times New Roman"/>
          <w:sz w:val="18"/>
          <w:szCs w:val="18"/>
        </w:rPr>
        <w:t xml:space="preserve"> comportements </w:t>
      </w:r>
    </w:p>
    <w:p w14:paraId="041CEEE7"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et</w:t>
      </w:r>
      <w:proofErr w:type="gramEnd"/>
      <w:r w:rsidRPr="00EE3125">
        <w:rPr>
          <w:rFonts w:ascii="Times New Roman" w:hAnsi="Times New Roman" w:cs="Times New Roman"/>
          <w:sz w:val="18"/>
          <w:szCs w:val="18"/>
        </w:rPr>
        <w:t xml:space="preserve"> sa relation au sacré Dans cette perspective, la sorcellerie n’est pas uniquement une cause extérieure, mais aussi une construction interprétative qui vient donner forme à des déséquilibres internes, amplifiés par des contextes sociaux et culturels spécifiques.  </w:t>
      </w:r>
    </w:p>
    <w:p w14:paraId="3DB065C1"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Le récit biblique comme clé de lecture Pour comprendre cette dynamique, il est nécessaire de revenir aux fondements. Le texte d’Apocalypse 12 offre une clé herméneutique majeure :</w:t>
      </w:r>
      <w:proofErr w:type="gramStart"/>
      <w:r w:rsidRPr="00EE3125">
        <w:rPr>
          <w:rFonts w:ascii="Times New Roman" w:hAnsi="Times New Roman" w:cs="Times New Roman"/>
          <w:sz w:val="18"/>
          <w:szCs w:val="18"/>
        </w:rPr>
        <w:t xml:space="preserve"> «Il</w:t>
      </w:r>
      <w:proofErr w:type="gramEnd"/>
      <w:r w:rsidRPr="00EE3125">
        <w:rPr>
          <w:rFonts w:ascii="Times New Roman" w:hAnsi="Times New Roman" w:cs="Times New Roman"/>
          <w:sz w:val="18"/>
          <w:szCs w:val="18"/>
        </w:rPr>
        <w:t xml:space="preserve"> y eut alors un combat dans le ciel. Michel et ses anges combattirent contre le dragon. Et le dragon combattit, lui et ses anges, mais ils ne furent pas les plus forts, et leur </w:t>
      </w:r>
      <w:r w:rsidRPr="00EE3125">
        <w:rPr>
          <w:rFonts w:ascii="Times New Roman" w:hAnsi="Times New Roman" w:cs="Times New Roman"/>
          <w:sz w:val="18"/>
          <w:szCs w:val="18"/>
        </w:rPr>
        <w:lastRenderedPageBreak/>
        <w:t xml:space="preserve">place ne fut plus trouvée dans le ciel. Et il fut précipité, le grand dragon, le serpent ancien, appelé le diable et Satan, celui qui séduit toute la </w:t>
      </w:r>
      <w:proofErr w:type="gramStart"/>
      <w:r w:rsidRPr="00EE3125">
        <w:rPr>
          <w:rFonts w:ascii="Times New Roman" w:hAnsi="Times New Roman" w:cs="Times New Roman"/>
          <w:sz w:val="18"/>
          <w:szCs w:val="18"/>
        </w:rPr>
        <w:t>terre;</w:t>
      </w:r>
      <w:proofErr w:type="gramEnd"/>
      <w:r w:rsidRPr="00EE3125">
        <w:rPr>
          <w:rFonts w:ascii="Times New Roman" w:hAnsi="Times New Roman" w:cs="Times New Roman"/>
          <w:sz w:val="18"/>
          <w:szCs w:val="18"/>
        </w:rPr>
        <w:t xml:space="preserve"> il fut précipité sur la terre, et ses anges furent précipités avec lui</w:t>
      </w:r>
      <w:proofErr w:type="gramStart"/>
      <w:r w:rsidRPr="00EE3125">
        <w:rPr>
          <w:rFonts w:ascii="Times New Roman" w:hAnsi="Times New Roman" w:cs="Times New Roman"/>
          <w:sz w:val="18"/>
          <w:szCs w:val="18"/>
        </w:rPr>
        <w:t>.»</w:t>
      </w:r>
      <w:proofErr w:type="gramEnd"/>
      <w:r w:rsidRPr="00EE3125">
        <w:rPr>
          <w:rFonts w:ascii="Times New Roman" w:hAnsi="Times New Roman" w:cs="Times New Roman"/>
          <w:sz w:val="18"/>
          <w:szCs w:val="18"/>
        </w:rPr>
        <w:t xml:space="preserve"> (Apocalypse </w:t>
      </w:r>
      <w:proofErr w:type="gramStart"/>
      <w:r w:rsidRPr="00EE3125">
        <w:rPr>
          <w:rFonts w:ascii="Times New Roman" w:hAnsi="Times New Roman" w:cs="Times New Roman"/>
          <w:sz w:val="18"/>
          <w:szCs w:val="18"/>
        </w:rPr>
        <w:t>12:</w:t>
      </w:r>
      <w:proofErr w:type="gramEnd"/>
      <w:r w:rsidRPr="00EE3125">
        <w:rPr>
          <w:rFonts w:ascii="Times New Roman" w:hAnsi="Times New Roman" w:cs="Times New Roman"/>
          <w:sz w:val="18"/>
          <w:szCs w:val="18"/>
        </w:rPr>
        <w:t xml:space="preserve">7-9). Ce passage ne décrit pas seulement un événement cosmique ; il propose une lecture structurée de la condition humaine : </w:t>
      </w:r>
    </w:p>
    <w:p w14:paraId="2FC0B66E"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l’existence</w:t>
      </w:r>
      <w:proofErr w:type="gramEnd"/>
      <w:r w:rsidRPr="00EE3125">
        <w:rPr>
          <w:rFonts w:ascii="Times New Roman" w:hAnsi="Times New Roman" w:cs="Times New Roman"/>
          <w:sz w:val="18"/>
          <w:szCs w:val="18"/>
        </w:rPr>
        <w:t xml:space="preserve"> d’un conflit invisible </w:t>
      </w:r>
    </w:p>
    <w:p w14:paraId="2A7A16F5" w14:textId="333C6A24"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la</w:t>
      </w:r>
      <w:proofErr w:type="gramEnd"/>
      <w:r w:rsidRPr="00EE3125">
        <w:rPr>
          <w:rFonts w:ascii="Times New Roman" w:hAnsi="Times New Roman" w:cs="Times New Roman"/>
          <w:sz w:val="18"/>
          <w:szCs w:val="18"/>
        </w:rPr>
        <w:t xml:space="preserve"> limitation du mal dans la sphère divine </w:t>
      </w:r>
    </w:p>
    <w:p w14:paraId="2FD525A5"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et</w:t>
      </w:r>
      <w:proofErr w:type="gramEnd"/>
      <w:r w:rsidRPr="00EE3125">
        <w:rPr>
          <w:rFonts w:ascii="Times New Roman" w:hAnsi="Times New Roman" w:cs="Times New Roman"/>
          <w:sz w:val="18"/>
          <w:szCs w:val="18"/>
        </w:rPr>
        <w:t xml:space="preserve"> son déploiement dans l’espace humain Ainsi, l’homme ne vit pas dans un univers neutre. Il évolue dans un champ de tensions où s’entrecroisent influences visibles et invisibles, rationalité et croyances, foi et peur. Entre peur et responsabilité L’un des enjeux majeurs de ce livre est de dépasser une vision purement accusatoire du mal. </w:t>
      </w:r>
    </w:p>
    <w:p w14:paraId="4C35F473" w14:textId="73C03599"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Dans de nombreux contextes,</w:t>
      </w:r>
      <w:r w:rsidRPr="00EE3125">
        <w:rPr>
          <w:rFonts w:ascii="Times New Roman" w:hAnsi="Times New Roman" w:cs="Times New Roman"/>
          <w:sz w:val="18"/>
          <w:szCs w:val="18"/>
        </w:rPr>
        <w:t xml:space="preserve"> </w:t>
      </w:r>
      <w:r w:rsidRPr="00EE3125">
        <w:rPr>
          <w:rFonts w:ascii="Times New Roman" w:hAnsi="Times New Roman" w:cs="Times New Roman"/>
          <w:sz w:val="18"/>
          <w:szCs w:val="18"/>
        </w:rPr>
        <w:t xml:space="preserve">la sorcellerie devient un réflexe explicatif systématique, qui tend à externaliser toute responsabilité : </w:t>
      </w:r>
    </w:p>
    <w:p w14:paraId="22ED3CDE"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l’échec</w:t>
      </w:r>
      <w:proofErr w:type="gramEnd"/>
      <w:r w:rsidRPr="00EE3125">
        <w:rPr>
          <w:rFonts w:ascii="Times New Roman" w:hAnsi="Times New Roman" w:cs="Times New Roman"/>
          <w:sz w:val="18"/>
          <w:szCs w:val="18"/>
        </w:rPr>
        <w:t xml:space="preserve"> est attribué à autrui </w:t>
      </w:r>
    </w:p>
    <w:p w14:paraId="24D3FDE6"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la</w:t>
      </w:r>
      <w:proofErr w:type="gramEnd"/>
      <w:r w:rsidRPr="00EE3125">
        <w:rPr>
          <w:rFonts w:ascii="Times New Roman" w:hAnsi="Times New Roman" w:cs="Times New Roman"/>
          <w:sz w:val="18"/>
          <w:szCs w:val="18"/>
        </w:rPr>
        <w:t xml:space="preserve"> maladie est perçue comme une attaque </w:t>
      </w:r>
    </w:p>
    <w:p w14:paraId="0F2C16E7"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la</w:t>
      </w:r>
      <w:proofErr w:type="gramEnd"/>
      <w:r w:rsidRPr="00EE3125">
        <w:rPr>
          <w:rFonts w:ascii="Times New Roman" w:hAnsi="Times New Roman" w:cs="Times New Roman"/>
          <w:sz w:val="18"/>
          <w:szCs w:val="18"/>
        </w:rPr>
        <w:t xml:space="preserve"> souffrance devient forcément intentionnelle Or, une telle posture peut enfermer l’individu dans un cercle de peur, de suspicion et d’impuissance. </w:t>
      </w:r>
    </w:p>
    <w:p w14:paraId="63780CFB"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Ce livre propose une autre voie : celle de la responsabilisation éclairée. Il ne s’agit pas de nier l’existence possible de réalités spirituelles, mais de reconnaître que l’homme participe lui-même, par ses choix, ses pensées et ses comportements, à la construction de son équilibre ou de son déséquilibre. Une approche intégrative : la MTHS Face à la complexité du réel, la MTHS se présente comme une approche intégrative, à la fois clinique et spirituelle. Elle repose sur trois niveaux d’analyse : </w:t>
      </w:r>
    </w:p>
    <w:p w14:paraId="289799F0"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1. Le niveau visible : symptômes, comportements, situations de vie </w:t>
      </w:r>
    </w:p>
    <w:p w14:paraId="2C41F26D"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lastRenderedPageBreak/>
        <w:t xml:space="preserve">2. Le niveau psychique : émotions, pensées, traumatismes </w:t>
      </w:r>
    </w:p>
    <w:p w14:paraId="2F8A9450"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3. Le niveau spirituel : croyances, rapport au sacré, influences invisibles Cette approche permet de dépasser les oppositions stériles entre science et foi, tradition et modernité, pour proposer une lecture globale de l’homme.</w:t>
      </w:r>
      <w:r w:rsidRPr="00EE3125">
        <w:rPr>
          <w:rFonts w:ascii="Times New Roman" w:hAnsi="Times New Roman" w:cs="Times New Roman"/>
          <w:sz w:val="18"/>
          <w:szCs w:val="18"/>
        </w:rPr>
        <w:t xml:space="preserve"> </w:t>
      </w:r>
    </w:p>
    <w:p w14:paraId="318FC727"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Une œuvre pour comprendre et libérer Ce livre n’a pas pour vocation d’entretenir la peur, ni de renforcer les logiques d’accusation. Il se veut un outil de compréhension, de discernement et, surtout, de libération. Car si le mal peut sembler puissant, il n’est jamais absolu. « Vous connaîtrez la vérité, et la vérité vous affranchira » (Jean </w:t>
      </w:r>
      <w:proofErr w:type="gramStart"/>
      <w:r w:rsidRPr="00EE3125">
        <w:rPr>
          <w:rFonts w:ascii="Times New Roman" w:hAnsi="Times New Roman" w:cs="Times New Roman"/>
          <w:sz w:val="18"/>
          <w:szCs w:val="18"/>
        </w:rPr>
        <w:t>8:</w:t>
      </w:r>
      <w:proofErr w:type="gramEnd"/>
      <w:r w:rsidRPr="00EE3125">
        <w:rPr>
          <w:rFonts w:ascii="Times New Roman" w:hAnsi="Times New Roman" w:cs="Times New Roman"/>
          <w:sz w:val="18"/>
          <w:szCs w:val="18"/>
        </w:rPr>
        <w:t xml:space="preserve">32). Comprendre, c’est déjà commencer à se libérer. Nommer, c’est déjà reprendre du pouvoir. Analyser, c’est déjà sortir de la confusion. Invitation au lecteur Ce livre s’adresse à tous : </w:t>
      </w:r>
    </w:p>
    <w:p w14:paraId="3DD32144"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aux</w:t>
      </w:r>
      <w:proofErr w:type="gramEnd"/>
      <w:r w:rsidRPr="00EE3125">
        <w:rPr>
          <w:rFonts w:ascii="Times New Roman" w:hAnsi="Times New Roman" w:cs="Times New Roman"/>
          <w:sz w:val="18"/>
          <w:szCs w:val="18"/>
        </w:rPr>
        <w:t xml:space="preserve"> chercheurs en sciences humaines </w:t>
      </w:r>
    </w:p>
    <w:p w14:paraId="641BD3D3"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aux</w:t>
      </w:r>
      <w:proofErr w:type="gramEnd"/>
      <w:r w:rsidRPr="00EE3125">
        <w:rPr>
          <w:rFonts w:ascii="Times New Roman" w:hAnsi="Times New Roman" w:cs="Times New Roman"/>
          <w:sz w:val="18"/>
          <w:szCs w:val="18"/>
        </w:rPr>
        <w:t xml:space="preserve"> praticiens de santé </w:t>
      </w:r>
    </w:p>
    <w:p w14:paraId="2A2F02FA"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aux</w:t>
      </w:r>
      <w:proofErr w:type="gramEnd"/>
      <w:r w:rsidRPr="00EE3125">
        <w:rPr>
          <w:rFonts w:ascii="Times New Roman" w:hAnsi="Times New Roman" w:cs="Times New Roman"/>
          <w:sz w:val="18"/>
          <w:szCs w:val="18"/>
        </w:rPr>
        <w:t xml:space="preserve"> responsables spirituels </w:t>
      </w:r>
    </w:p>
    <w:p w14:paraId="4148F9C3"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aux</w:t>
      </w:r>
      <w:proofErr w:type="gramEnd"/>
      <w:r w:rsidRPr="00EE3125">
        <w:rPr>
          <w:rFonts w:ascii="Times New Roman" w:hAnsi="Times New Roman" w:cs="Times New Roman"/>
          <w:sz w:val="18"/>
          <w:szCs w:val="18"/>
        </w:rPr>
        <w:t xml:space="preserve"> personnes en quête de sens </w:t>
      </w:r>
    </w:p>
    <w:p w14:paraId="48632FF6" w14:textId="77777777"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sym w:font="Symbol" w:char="F0B7"/>
      </w:r>
      <w:r w:rsidRPr="00EE3125">
        <w:rPr>
          <w:rFonts w:ascii="Times New Roman" w:hAnsi="Times New Roman" w:cs="Times New Roman"/>
          <w:sz w:val="18"/>
          <w:szCs w:val="18"/>
        </w:rPr>
        <w:t xml:space="preserve"> </w:t>
      </w:r>
      <w:proofErr w:type="gramStart"/>
      <w:r w:rsidRPr="00EE3125">
        <w:rPr>
          <w:rFonts w:ascii="Times New Roman" w:hAnsi="Times New Roman" w:cs="Times New Roman"/>
          <w:sz w:val="18"/>
          <w:szCs w:val="18"/>
        </w:rPr>
        <w:t>et</w:t>
      </w:r>
      <w:proofErr w:type="gramEnd"/>
      <w:r w:rsidRPr="00EE3125">
        <w:rPr>
          <w:rFonts w:ascii="Times New Roman" w:hAnsi="Times New Roman" w:cs="Times New Roman"/>
          <w:sz w:val="18"/>
          <w:szCs w:val="18"/>
        </w:rPr>
        <w:t xml:space="preserve"> à tous ceux qui, confrontés à des réalités inexpliquées, cherchent à comprendre sans renoncer à la rigueur Il invite à un voyage exigeant, parfois dérangeant, mais nécessaire : celui de la confrontation avec l’invisible, non pour s’y soumettre, mais pour mieux en comprendre les mécanismes et s’en affranchir.</w:t>
      </w:r>
      <w:r w:rsidRPr="00EE3125">
        <w:rPr>
          <w:rFonts w:ascii="Times New Roman" w:hAnsi="Times New Roman" w:cs="Times New Roman"/>
          <w:sz w:val="18"/>
          <w:szCs w:val="18"/>
        </w:rPr>
        <w:t xml:space="preserve"> </w:t>
      </w:r>
    </w:p>
    <w:p w14:paraId="44CADDED" w14:textId="2033C6E9" w:rsidR="00EE3125" w:rsidRPr="00EE3125" w:rsidRDefault="00EE3125" w:rsidP="00EE3125">
      <w:pPr>
        <w:spacing w:line="360" w:lineRule="auto"/>
        <w:ind w:firstLine="708"/>
        <w:jc w:val="both"/>
        <w:rPr>
          <w:rFonts w:ascii="Times New Roman" w:hAnsi="Times New Roman" w:cs="Times New Roman"/>
          <w:sz w:val="18"/>
          <w:szCs w:val="18"/>
        </w:rPr>
      </w:pPr>
      <w:r w:rsidRPr="00EE3125">
        <w:rPr>
          <w:rFonts w:ascii="Times New Roman" w:hAnsi="Times New Roman" w:cs="Times New Roman"/>
          <w:sz w:val="18"/>
          <w:szCs w:val="18"/>
        </w:rPr>
        <w:t xml:space="preserve">En conclusion, entre la sorcellerie et la foi, il ne s’agit pas simplement de choisir un camp. Il s’agit de comprendre pourquoi, dans certaines expériences humaines, la sorcellerie semble dominer la foi. C’est à cette question fondamentale que cet ouvrage tente de répondre. Non pas en imposant des certitudes, mais en ouvrant un espace de réflexion, de discernement et de transformation. Car au-delà de toute domination apparente </w:t>
      </w:r>
      <w:r w:rsidRPr="00EE3125">
        <w:rPr>
          <w:rFonts w:ascii="Times New Roman" w:hAnsi="Times New Roman" w:cs="Times New Roman"/>
          <w:sz w:val="18"/>
          <w:szCs w:val="18"/>
        </w:rPr>
        <w:lastRenderedPageBreak/>
        <w:t xml:space="preserve">du mal, demeure une vérité essentielle : l’homme n’est pas condamné. L’homme est appelé à comprendre, à résister, et à se reconstruire. </w:t>
      </w:r>
    </w:p>
    <w:sectPr w:rsidR="00EE3125" w:rsidRPr="00EE3125" w:rsidSect="00EE3125">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125"/>
    <w:rsid w:val="001552F7"/>
    <w:rsid w:val="00186A94"/>
    <w:rsid w:val="001C499D"/>
    <w:rsid w:val="00A26E6B"/>
    <w:rsid w:val="00B04921"/>
    <w:rsid w:val="00EB12DD"/>
    <w:rsid w:val="00EE3125"/>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A8846"/>
  <w15:chartTrackingRefBased/>
  <w15:docId w15:val="{23A947C3-8A57-410C-9D84-30018B20D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E31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E31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E312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E312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E312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E31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E31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E31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E31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312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E312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E312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E312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E312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E31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E31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E31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E3125"/>
    <w:rPr>
      <w:rFonts w:eastAsiaTheme="majorEastAsia" w:cstheme="majorBidi"/>
      <w:color w:val="272727" w:themeColor="text1" w:themeTint="D8"/>
    </w:rPr>
  </w:style>
  <w:style w:type="paragraph" w:styleId="Titre">
    <w:name w:val="Title"/>
    <w:basedOn w:val="Normal"/>
    <w:next w:val="Normal"/>
    <w:link w:val="TitreCar"/>
    <w:uiPriority w:val="10"/>
    <w:qFormat/>
    <w:rsid w:val="00EE3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E31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E31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E31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E3125"/>
    <w:pPr>
      <w:spacing w:before="160"/>
      <w:jc w:val="center"/>
    </w:pPr>
    <w:rPr>
      <w:i/>
      <w:iCs/>
      <w:color w:val="404040" w:themeColor="text1" w:themeTint="BF"/>
    </w:rPr>
  </w:style>
  <w:style w:type="character" w:customStyle="1" w:styleId="CitationCar">
    <w:name w:val="Citation Car"/>
    <w:basedOn w:val="Policepardfaut"/>
    <w:link w:val="Citation"/>
    <w:uiPriority w:val="29"/>
    <w:rsid w:val="00EE3125"/>
    <w:rPr>
      <w:i/>
      <w:iCs/>
      <w:color w:val="404040" w:themeColor="text1" w:themeTint="BF"/>
    </w:rPr>
  </w:style>
  <w:style w:type="paragraph" w:styleId="Paragraphedeliste">
    <w:name w:val="List Paragraph"/>
    <w:basedOn w:val="Normal"/>
    <w:uiPriority w:val="34"/>
    <w:qFormat/>
    <w:rsid w:val="00EE3125"/>
    <w:pPr>
      <w:ind w:left="720"/>
      <w:contextualSpacing/>
    </w:pPr>
  </w:style>
  <w:style w:type="character" w:styleId="Accentuationintense">
    <w:name w:val="Intense Emphasis"/>
    <w:basedOn w:val="Policepardfaut"/>
    <w:uiPriority w:val="21"/>
    <w:qFormat/>
    <w:rsid w:val="00EE3125"/>
    <w:rPr>
      <w:i/>
      <w:iCs/>
      <w:color w:val="2F5496" w:themeColor="accent1" w:themeShade="BF"/>
    </w:rPr>
  </w:style>
  <w:style w:type="paragraph" w:styleId="Citationintense">
    <w:name w:val="Intense Quote"/>
    <w:basedOn w:val="Normal"/>
    <w:next w:val="Normal"/>
    <w:link w:val="CitationintenseCar"/>
    <w:uiPriority w:val="30"/>
    <w:qFormat/>
    <w:rsid w:val="00EE31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E3125"/>
    <w:rPr>
      <w:i/>
      <w:iCs/>
      <w:color w:val="2F5496" w:themeColor="accent1" w:themeShade="BF"/>
    </w:rPr>
  </w:style>
  <w:style w:type="character" w:styleId="Rfrenceintense">
    <w:name w:val="Intense Reference"/>
    <w:basedOn w:val="Policepardfaut"/>
    <w:uiPriority w:val="32"/>
    <w:qFormat/>
    <w:rsid w:val="00EE31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2408</Words>
  <Characters>13248</Characters>
  <Application>Microsoft Office Word</Application>
  <DocSecurity>0</DocSecurity>
  <Lines>110</Lines>
  <Paragraphs>31</Paragraphs>
  <ScaleCrop>false</ScaleCrop>
  <Company/>
  <LinksUpToDate>false</LinksUpToDate>
  <CharactersWithSpaces>15625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2026-07-20T11:12:00Z</dcterms:created>
  <dcterms:modified xsi:type="dcterms:W3CDTF">2026-07-20T11:24:00Z</dcterms:modified>
</cp:coreProperties>
</file>