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8FBDE" w14:textId="77777777" w:rsidR="00520072" w:rsidRPr="00520072" w:rsidRDefault="00520072" w:rsidP="00520072">
      <w:pPr>
        <w:spacing w:line="360" w:lineRule="auto"/>
        <w:jc w:val="both"/>
        <w:rPr>
          <w:rFonts w:ascii="Times New Roman" w:hAnsi="Times New Roman" w:cs="Times New Roman"/>
          <w:sz w:val="18"/>
          <w:szCs w:val="18"/>
        </w:rPr>
      </w:pPr>
    </w:p>
    <w:p w14:paraId="002F61D2" w14:textId="77777777" w:rsidR="00520072" w:rsidRPr="00520072" w:rsidRDefault="00520072" w:rsidP="00520072">
      <w:pPr>
        <w:spacing w:line="360" w:lineRule="auto"/>
        <w:jc w:val="both"/>
        <w:rPr>
          <w:rFonts w:ascii="Times New Roman" w:hAnsi="Times New Roman" w:cs="Times New Roman"/>
          <w:sz w:val="18"/>
          <w:szCs w:val="18"/>
        </w:rPr>
      </w:pPr>
    </w:p>
    <w:p w14:paraId="43F61640" w14:textId="77777777" w:rsidR="00520072" w:rsidRDefault="00520072" w:rsidP="00520072">
      <w:pPr>
        <w:spacing w:line="360" w:lineRule="auto"/>
        <w:jc w:val="both"/>
        <w:rPr>
          <w:rFonts w:ascii="Times New Roman" w:hAnsi="Times New Roman" w:cs="Times New Roman"/>
          <w:sz w:val="18"/>
          <w:szCs w:val="18"/>
        </w:rPr>
      </w:pPr>
    </w:p>
    <w:p w14:paraId="3C7DEB00" w14:textId="77777777" w:rsidR="00520072" w:rsidRDefault="00520072" w:rsidP="00520072">
      <w:pPr>
        <w:spacing w:line="360" w:lineRule="auto"/>
        <w:jc w:val="both"/>
        <w:rPr>
          <w:rFonts w:ascii="Times New Roman" w:hAnsi="Times New Roman" w:cs="Times New Roman"/>
          <w:sz w:val="18"/>
          <w:szCs w:val="18"/>
        </w:rPr>
      </w:pPr>
    </w:p>
    <w:p w14:paraId="30E854E2" w14:textId="52C0760E" w:rsidR="00186A94" w:rsidRPr="00520072" w:rsidRDefault="00520072" w:rsidP="00520072">
      <w:pPr>
        <w:spacing w:line="360" w:lineRule="auto"/>
        <w:jc w:val="both"/>
        <w:rPr>
          <w:rFonts w:ascii="Times New Roman" w:hAnsi="Times New Roman" w:cs="Times New Roman"/>
          <w:sz w:val="18"/>
          <w:szCs w:val="18"/>
        </w:rPr>
      </w:pPr>
      <w:r w:rsidRPr="00520072">
        <w:rPr>
          <w:rFonts w:ascii="Times New Roman" w:hAnsi="Times New Roman" w:cs="Times New Roman"/>
          <w:sz w:val="18"/>
          <w:szCs w:val="18"/>
        </w:rPr>
        <w:t>LA TRANSMISSION DE LA SORCELLERIE AU SEIN DE LA FAMILLE (</w:t>
      </w:r>
      <w:proofErr w:type="gramStart"/>
      <w:r w:rsidRPr="00520072">
        <w:rPr>
          <w:rFonts w:ascii="Times New Roman" w:hAnsi="Times New Roman" w:cs="Times New Roman"/>
          <w:sz w:val="18"/>
          <w:szCs w:val="18"/>
        </w:rPr>
        <w:t>L'EVU:</w:t>
      </w:r>
      <w:proofErr w:type="gramEnd"/>
      <w:r w:rsidRPr="00520072">
        <w:rPr>
          <w:rFonts w:ascii="Times New Roman" w:hAnsi="Times New Roman" w:cs="Times New Roman"/>
          <w:sz w:val="18"/>
          <w:szCs w:val="18"/>
        </w:rPr>
        <w:t xml:space="preserve"> le germe de l’envoûtement) Approche clinique de la "Médecine Traditionnelle des Handicapés Spirituels" (MTHS)</w:t>
      </w:r>
    </w:p>
    <w:p w14:paraId="04379D9C" w14:textId="64A61833" w:rsidR="00520072" w:rsidRPr="00520072" w:rsidRDefault="00520072" w:rsidP="00520072">
      <w:pPr>
        <w:spacing w:line="360" w:lineRule="auto"/>
        <w:jc w:val="both"/>
        <w:rPr>
          <w:rFonts w:ascii="Times New Roman" w:hAnsi="Times New Roman" w:cs="Times New Roman"/>
          <w:sz w:val="18"/>
          <w:szCs w:val="18"/>
        </w:rPr>
      </w:pPr>
      <w:r w:rsidRPr="00520072">
        <w:rPr>
          <w:rFonts w:ascii="Times New Roman" w:hAnsi="Times New Roman" w:cs="Times New Roman"/>
          <w:sz w:val="18"/>
          <w:szCs w:val="18"/>
        </w:rPr>
        <w:br w:type="page"/>
      </w:r>
    </w:p>
    <w:p w14:paraId="52FB5503" w14:textId="04ADA3E6" w:rsidR="00520072" w:rsidRPr="00520072" w:rsidRDefault="00520072" w:rsidP="00520072">
      <w:pPr>
        <w:spacing w:line="360" w:lineRule="auto"/>
        <w:jc w:val="both"/>
        <w:rPr>
          <w:rFonts w:ascii="Times New Roman" w:hAnsi="Times New Roman" w:cs="Times New Roman"/>
          <w:sz w:val="18"/>
          <w:szCs w:val="18"/>
        </w:rPr>
      </w:pPr>
      <w:r w:rsidRPr="00520072">
        <w:rPr>
          <w:rFonts w:ascii="Times New Roman" w:hAnsi="Times New Roman" w:cs="Times New Roman"/>
          <w:sz w:val="18"/>
          <w:szCs w:val="18"/>
        </w:rPr>
        <w:lastRenderedPageBreak/>
        <w:t>LES CLÉFS DU SUCCÈS DE L’ÉCOLE DU FUTUR</w:t>
      </w:r>
    </w:p>
    <w:p w14:paraId="728D8462"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w:t>
      </w:r>
    </w:p>
    <w:p w14:paraId="779F8956"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520072">
        <w:rPr>
          <w:rFonts w:ascii="Times New Roman" w:hAnsi="Times New Roman" w:cs="Times New Roman"/>
          <w:sz w:val="18"/>
          <w:szCs w:val="18"/>
        </w:rPr>
        <w:t>des cinq continent</w:t>
      </w:r>
      <w:proofErr w:type="gramEnd"/>
      <w:r w:rsidRPr="00520072">
        <w:rPr>
          <w:rFonts w:ascii="Times New Roman" w:hAnsi="Times New Roman" w:cs="Times New Roman"/>
          <w:sz w:val="18"/>
          <w:szCs w:val="18"/>
        </w:rPr>
        <w:t xml:space="preserve"> de la Planète Terre. </w:t>
      </w:r>
    </w:p>
    <w:p w14:paraId="352C1FEB"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12CBFF74" w14:textId="3713CBA6"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615C3728"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520072">
        <w:rPr>
          <w:rFonts w:ascii="Times New Roman" w:hAnsi="Times New Roman" w:cs="Times New Roman"/>
          <w:sz w:val="18"/>
          <w:szCs w:val="18"/>
        </w:rPr>
        <w:t>sacerdoce;</w:t>
      </w:r>
      <w:proofErr w:type="gramEnd"/>
      <w:r w:rsidRPr="00520072">
        <w:rPr>
          <w:rFonts w:ascii="Times New Roman" w:hAnsi="Times New Roman" w:cs="Times New Roman"/>
          <w:sz w:val="18"/>
          <w:szCs w:val="18"/>
        </w:rPr>
        <w:t xml:space="preserve"> Puisque tu as oublié la loi de ton Dieu, J'oublierai aussi tes enfants » (OSEE 4.6). </w:t>
      </w:r>
    </w:p>
    <w:p w14:paraId="4D0B496A"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NOTRE METHODE DE TRANSFORMATION : « </w:t>
      </w:r>
      <w:proofErr w:type="gramStart"/>
      <w:r w:rsidRPr="00520072">
        <w:rPr>
          <w:rFonts w:ascii="Times New Roman" w:hAnsi="Times New Roman" w:cs="Times New Roman"/>
          <w:sz w:val="18"/>
          <w:szCs w:val="18"/>
        </w:rPr>
        <w:t>Homme!!!</w:t>
      </w:r>
      <w:proofErr w:type="gramEnd"/>
      <w:r w:rsidRPr="00520072">
        <w:rPr>
          <w:rFonts w:ascii="Times New Roman" w:hAnsi="Times New Roman" w:cs="Times New Roman"/>
          <w:sz w:val="18"/>
          <w:szCs w:val="18"/>
        </w:rPr>
        <w:t xml:space="preserve"> connais-toi d'abord spirituellement toi-</w:t>
      </w:r>
      <w:proofErr w:type="gramStart"/>
      <w:r w:rsidRPr="00520072">
        <w:rPr>
          <w:rFonts w:ascii="Times New Roman" w:hAnsi="Times New Roman" w:cs="Times New Roman"/>
          <w:sz w:val="18"/>
          <w:szCs w:val="18"/>
        </w:rPr>
        <w:t>même;</w:t>
      </w:r>
      <w:proofErr w:type="gramEnd"/>
      <w:r w:rsidRPr="00520072">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036D16E9"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47BD944D" w14:textId="450C4984"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(Jean Paul Sylvain SIDA ABENA)</w:t>
      </w:r>
    </w:p>
    <w:p w14:paraId="32513071" w14:textId="45AD38C4" w:rsidR="00520072" w:rsidRPr="00520072" w:rsidRDefault="00520072" w:rsidP="00520072">
      <w:pPr>
        <w:spacing w:line="360" w:lineRule="auto"/>
        <w:jc w:val="both"/>
        <w:rPr>
          <w:rFonts w:ascii="Times New Roman" w:hAnsi="Times New Roman" w:cs="Times New Roman"/>
          <w:b/>
          <w:bCs/>
          <w:sz w:val="18"/>
          <w:szCs w:val="18"/>
        </w:rPr>
      </w:pPr>
    </w:p>
    <w:p w14:paraId="20BA4D34" w14:textId="0D5F6069"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SOMMAIRE</w:t>
      </w:r>
    </w:p>
    <w:p w14:paraId="29EB9EC4" w14:textId="77777777" w:rsidR="00520072" w:rsidRPr="00520072" w:rsidRDefault="00520072" w:rsidP="00520072">
      <w:pPr>
        <w:spacing w:line="360" w:lineRule="auto"/>
        <w:jc w:val="both"/>
        <w:rPr>
          <w:rFonts w:ascii="Times New Roman" w:hAnsi="Times New Roman" w:cs="Times New Roman"/>
          <w:sz w:val="16"/>
          <w:szCs w:val="16"/>
        </w:rPr>
      </w:pPr>
      <w:r w:rsidRPr="00520072">
        <w:rPr>
          <w:rFonts w:ascii="Times New Roman" w:hAnsi="Times New Roman" w:cs="Times New Roman"/>
          <w:sz w:val="16"/>
          <w:szCs w:val="16"/>
        </w:rPr>
        <w:t>Préface……………………………………………………………………</w:t>
      </w:r>
      <w:proofErr w:type="gramStart"/>
      <w:r w:rsidRPr="00520072">
        <w:rPr>
          <w:rFonts w:ascii="Times New Roman" w:hAnsi="Times New Roman" w:cs="Times New Roman"/>
          <w:sz w:val="16"/>
          <w:szCs w:val="16"/>
        </w:rPr>
        <w:t>…….</w:t>
      </w:r>
      <w:proofErr w:type="gramEnd"/>
      <w:r w:rsidRPr="00520072">
        <w:rPr>
          <w:rFonts w:ascii="Times New Roman" w:hAnsi="Times New Roman" w:cs="Times New Roman"/>
          <w:sz w:val="16"/>
          <w:szCs w:val="16"/>
        </w:rPr>
        <w:t>…P.13</w:t>
      </w:r>
    </w:p>
    <w:p w14:paraId="78DA3035" w14:textId="77777777" w:rsidR="00520072" w:rsidRPr="00520072" w:rsidRDefault="00520072" w:rsidP="00520072">
      <w:pPr>
        <w:spacing w:line="360" w:lineRule="auto"/>
        <w:jc w:val="both"/>
        <w:rPr>
          <w:rFonts w:ascii="Times New Roman" w:hAnsi="Times New Roman" w:cs="Times New Roman"/>
          <w:sz w:val="16"/>
          <w:szCs w:val="16"/>
        </w:rPr>
      </w:pPr>
      <w:r w:rsidRPr="00520072">
        <w:rPr>
          <w:rFonts w:ascii="Times New Roman" w:hAnsi="Times New Roman" w:cs="Times New Roman"/>
          <w:sz w:val="16"/>
          <w:szCs w:val="16"/>
        </w:rPr>
        <w:t>Avant-propos……………………………………………………………</w:t>
      </w:r>
      <w:proofErr w:type="gramStart"/>
      <w:r w:rsidRPr="00520072">
        <w:rPr>
          <w:rFonts w:ascii="Times New Roman" w:hAnsi="Times New Roman" w:cs="Times New Roman"/>
          <w:sz w:val="16"/>
          <w:szCs w:val="16"/>
        </w:rPr>
        <w:t>…….….P.</w:t>
      </w:r>
      <w:proofErr w:type="gramEnd"/>
      <w:r w:rsidRPr="00520072">
        <w:rPr>
          <w:rFonts w:ascii="Times New Roman" w:hAnsi="Times New Roman" w:cs="Times New Roman"/>
          <w:sz w:val="16"/>
          <w:szCs w:val="16"/>
        </w:rPr>
        <w:t xml:space="preserve">16 </w:t>
      </w:r>
    </w:p>
    <w:p w14:paraId="53263AF2" w14:textId="77777777" w:rsidR="00520072" w:rsidRPr="00520072" w:rsidRDefault="00520072" w:rsidP="00520072">
      <w:pPr>
        <w:spacing w:line="360" w:lineRule="auto"/>
        <w:jc w:val="both"/>
        <w:rPr>
          <w:rFonts w:ascii="Times New Roman" w:hAnsi="Times New Roman" w:cs="Times New Roman"/>
          <w:sz w:val="16"/>
          <w:szCs w:val="16"/>
        </w:rPr>
      </w:pPr>
      <w:r w:rsidRPr="00520072">
        <w:rPr>
          <w:rFonts w:ascii="Times New Roman" w:hAnsi="Times New Roman" w:cs="Times New Roman"/>
          <w:sz w:val="16"/>
          <w:szCs w:val="16"/>
        </w:rPr>
        <w:t xml:space="preserve">Introduction générale……………………………………………………………P.21 </w:t>
      </w:r>
    </w:p>
    <w:p w14:paraId="0D197CD1" w14:textId="77777777" w:rsidR="00520072" w:rsidRPr="00520072" w:rsidRDefault="00520072" w:rsidP="00520072">
      <w:pPr>
        <w:spacing w:line="360" w:lineRule="auto"/>
        <w:jc w:val="both"/>
        <w:rPr>
          <w:rFonts w:ascii="Times New Roman" w:hAnsi="Times New Roman" w:cs="Times New Roman"/>
          <w:sz w:val="16"/>
          <w:szCs w:val="16"/>
        </w:rPr>
      </w:pPr>
      <w:r w:rsidRPr="00520072">
        <w:rPr>
          <w:rFonts w:ascii="Times New Roman" w:hAnsi="Times New Roman" w:cs="Times New Roman"/>
          <w:sz w:val="16"/>
          <w:szCs w:val="16"/>
        </w:rPr>
        <w:t>Chapitre-I : Le procédé d’initiation secrète dans l’univers de la sorcellerie africaine……………………………………………</w:t>
      </w:r>
      <w:proofErr w:type="gramStart"/>
      <w:r w:rsidRPr="00520072">
        <w:rPr>
          <w:rFonts w:ascii="Times New Roman" w:hAnsi="Times New Roman" w:cs="Times New Roman"/>
          <w:sz w:val="16"/>
          <w:szCs w:val="16"/>
        </w:rPr>
        <w:t>……..….</w:t>
      </w:r>
      <w:proofErr w:type="gramEnd"/>
      <w:r w:rsidRPr="00520072">
        <w:rPr>
          <w:rFonts w:ascii="Times New Roman" w:hAnsi="Times New Roman" w:cs="Times New Roman"/>
          <w:sz w:val="16"/>
          <w:szCs w:val="16"/>
        </w:rPr>
        <w:t xml:space="preserve">P.27 </w:t>
      </w:r>
    </w:p>
    <w:p w14:paraId="2049AF63" w14:textId="77777777" w:rsidR="00520072" w:rsidRPr="00520072" w:rsidRDefault="00520072" w:rsidP="00520072">
      <w:pPr>
        <w:spacing w:line="360" w:lineRule="auto"/>
        <w:jc w:val="both"/>
        <w:rPr>
          <w:rFonts w:ascii="Times New Roman" w:hAnsi="Times New Roman" w:cs="Times New Roman"/>
          <w:sz w:val="16"/>
          <w:szCs w:val="16"/>
        </w:rPr>
      </w:pPr>
      <w:r w:rsidRPr="00520072">
        <w:rPr>
          <w:rFonts w:ascii="Times New Roman" w:hAnsi="Times New Roman" w:cs="Times New Roman"/>
          <w:sz w:val="16"/>
          <w:szCs w:val="16"/>
        </w:rPr>
        <w:t>Chapitre-II : Méthodes et techniques de l’envoûtement…………………P.44</w:t>
      </w:r>
    </w:p>
    <w:p w14:paraId="5BDDE895" w14:textId="77777777" w:rsidR="00520072" w:rsidRPr="00520072" w:rsidRDefault="00520072" w:rsidP="00520072">
      <w:pPr>
        <w:spacing w:line="360" w:lineRule="auto"/>
        <w:jc w:val="both"/>
        <w:rPr>
          <w:rFonts w:ascii="Times New Roman" w:hAnsi="Times New Roman" w:cs="Times New Roman"/>
          <w:sz w:val="16"/>
          <w:szCs w:val="16"/>
        </w:rPr>
      </w:pPr>
      <w:r w:rsidRPr="00520072">
        <w:rPr>
          <w:rFonts w:ascii="Times New Roman" w:hAnsi="Times New Roman" w:cs="Times New Roman"/>
          <w:sz w:val="16"/>
          <w:szCs w:val="16"/>
        </w:rPr>
        <w:t xml:space="preserve"> Chapitre-III : L’Influence, l’emprise et le contrôle de </w:t>
      </w:r>
      <w:proofErr w:type="gramStart"/>
      <w:r w:rsidRPr="00520072">
        <w:rPr>
          <w:rFonts w:ascii="Times New Roman" w:hAnsi="Times New Roman" w:cs="Times New Roman"/>
          <w:sz w:val="16"/>
          <w:szCs w:val="16"/>
        </w:rPr>
        <w:t>l’ «</w:t>
      </w:r>
      <w:proofErr w:type="gramEnd"/>
      <w:r w:rsidRPr="00520072">
        <w:rPr>
          <w:rFonts w:ascii="Times New Roman" w:hAnsi="Times New Roman" w:cs="Times New Roman"/>
          <w:sz w:val="16"/>
          <w:szCs w:val="16"/>
        </w:rPr>
        <w:t xml:space="preserve"> </w:t>
      </w:r>
      <w:proofErr w:type="spellStart"/>
      <w:r w:rsidRPr="00520072">
        <w:rPr>
          <w:rFonts w:ascii="Times New Roman" w:hAnsi="Times New Roman" w:cs="Times New Roman"/>
          <w:sz w:val="16"/>
          <w:szCs w:val="16"/>
        </w:rPr>
        <w:t>Évu</w:t>
      </w:r>
      <w:proofErr w:type="spellEnd"/>
      <w:r w:rsidRPr="00520072">
        <w:rPr>
          <w:rFonts w:ascii="Times New Roman" w:hAnsi="Times New Roman" w:cs="Times New Roman"/>
          <w:sz w:val="16"/>
          <w:szCs w:val="16"/>
        </w:rPr>
        <w:t xml:space="preserve"> » sur le corps et l’esprit de l’homme…………………………………………P.72 </w:t>
      </w:r>
    </w:p>
    <w:p w14:paraId="4055184C" w14:textId="77777777" w:rsidR="00520072" w:rsidRPr="00520072" w:rsidRDefault="00520072" w:rsidP="00520072">
      <w:pPr>
        <w:spacing w:line="360" w:lineRule="auto"/>
        <w:jc w:val="both"/>
        <w:rPr>
          <w:rFonts w:ascii="Times New Roman" w:hAnsi="Times New Roman" w:cs="Times New Roman"/>
          <w:sz w:val="16"/>
          <w:szCs w:val="16"/>
        </w:rPr>
      </w:pPr>
      <w:r w:rsidRPr="00520072">
        <w:rPr>
          <w:rFonts w:ascii="Times New Roman" w:hAnsi="Times New Roman" w:cs="Times New Roman"/>
          <w:sz w:val="16"/>
          <w:szCs w:val="16"/>
        </w:rPr>
        <w:t>Conclusion générale……………………………………………………</w:t>
      </w:r>
      <w:proofErr w:type="gramStart"/>
      <w:r w:rsidRPr="00520072">
        <w:rPr>
          <w:rFonts w:ascii="Times New Roman" w:hAnsi="Times New Roman" w:cs="Times New Roman"/>
          <w:sz w:val="16"/>
          <w:szCs w:val="16"/>
        </w:rPr>
        <w:t>…….</w:t>
      </w:r>
      <w:proofErr w:type="gramEnd"/>
      <w:r w:rsidRPr="00520072">
        <w:rPr>
          <w:rFonts w:ascii="Times New Roman" w:hAnsi="Times New Roman" w:cs="Times New Roman"/>
          <w:sz w:val="16"/>
          <w:szCs w:val="16"/>
        </w:rPr>
        <w:t>P.90 Glossaire…………………………………………………………………</w:t>
      </w:r>
      <w:proofErr w:type="gramStart"/>
      <w:r w:rsidRPr="00520072">
        <w:rPr>
          <w:rFonts w:ascii="Times New Roman" w:hAnsi="Times New Roman" w:cs="Times New Roman"/>
          <w:sz w:val="16"/>
          <w:szCs w:val="16"/>
        </w:rPr>
        <w:t>…….</w:t>
      </w:r>
      <w:proofErr w:type="gramEnd"/>
      <w:r w:rsidRPr="00520072">
        <w:rPr>
          <w:rFonts w:ascii="Times New Roman" w:hAnsi="Times New Roman" w:cs="Times New Roman"/>
          <w:sz w:val="16"/>
          <w:szCs w:val="16"/>
        </w:rPr>
        <w:t xml:space="preserve">.P.95 </w:t>
      </w:r>
    </w:p>
    <w:p w14:paraId="36117FCE" w14:textId="6B308B18" w:rsidR="00520072" w:rsidRPr="00520072" w:rsidRDefault="00520072" w:rsidP="00520072">
      <w:pPr>
        <w:spacing w:line="360" w:lineRule="auto"/>
        <w:jc w:val="both"/>
        <w:rPr>
          <w:rFonts w:ascii="Times New Roman" w:hAnsi="Times New Roman" w:cs="Times New Roman"/>
          <w:sz w:val="16"/>
          <w:szCs w:val="16"/>
        </w:rPr>
      </w:pPr>
      <w:r w:rsidRPr="00520072">
        <w:rPr>
          <w:rFonts w:ascii="Times New Roman" w:hAnsi="Times New Roman" w:cs="Times New Roman"/>
          <w:sz w:val="16"/>
          <w:szCs w:val="16"/>
        </w:rPr>
        <w:t>Plan de localisation du Centre de MTHS d’ABILI…………………</w:t>
      </w:r>
      <w:proofErr w:type="gramStart"/>
      <w:r w:rsidRPr="00520072">
        <w:rPr>
          <w:rFonts w:ascii="Times New Roman" w:hAnsi="Times New Roman" w:cs="Times New Roman"/>
          <w:sz w:val="16"/>
          <w:szCs w:val="16"/>
        </w:rPr>
        <w:t>…….</w:t>
      </w:r>
      <w:proofErr w:type="gramEnd"/>
      <w:r w:rsidRPr="00520072">
        <w:rPr>
          <w:rFonts w:ascii="Times New Roman" w:hAnsi="Times New Roman" w:cs="Times New Roman"/>
          <w:sz w:val="16"/>
          <w:szCs w:val="16"/>
        </w:rPr>
        <w:t>.P.112</w:t>
      </w:r>
    </w:p>
    <w:p w14:paraId="47C1A2A0" w14:textId="6A88A439" w:rsidR="00520072" w:rsidRPr="00520072" w:rsidRDefault="00520072" w:rsidP="00520072">
      <w:pPr>
        <w:spacing w:line="360" w:lineRule="auto"/>
        <w:jc w:val="both"/>
        <w:rPr>
          <w:rFonts w:ascii="Times New Roman" w:hAnsi="Times New Roman" w:cs="Times New Roman"/>
          <w:sz w:val="16"/>
          <w:szCs w:val="16"/>
        </w:rPr>
      </w:pPr>
      <w:r w:rsidRPr="00520072">
        <w:rPr>
          <w:rFonts w:ascii="Times New Roman" w:hAnsi="Times New Roman" w:cs="Times New Roman"/>
          <w:sz w:val="16"/>
          <w:szCs w:val="16"/>
        </w:rPr>
        <w:br w:type="page"/>
      </w:r>
    </w:p>
    <w:p w14:paraId="1710FF38" w14:textId="39FF114C" w:rsidR="00520072" w:rsidRPr="00520072" w:rsidRDefault="00520072" w:rsidP="00520072">
      <w:pPr>
        <w:spacing w:line="360" w:lineRule="auto"/>
        <w:jc w:val="both"/>
        <w:rPr>
          <w:rFonts w:ascii="Times New Roman" w:hAnsi="Times New Roman" w:cs="Times New Roman"/>
          <w:sz w:val="18"/>
          <w:szCs w:val="18"/>
        </w:rPr>
      </w:pPr>
      <w:r w:rsidRPr="00520072">
        <w:rPr>
          <w:rFonts w:ascii="Times New Roman" w:hAnsi="Times New Roman" w:cs="Times New Roman"/>
          <w:sz w:val="18"/>
          <w:szCs w:val="18"/>
        </w:rPr>
        <w:lastRenderedPageBreak/>
        <w:t>PREFACE</w:t>
      </w:r>
    </w:p>
    <w:p w14:paraId="4ED69E60"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La famille, berceau de la vie, sanctuaire de la mémoire, matrice de la transmission des valeurs et de la foi, est aussi, dans de nombreuses cultures africaines, le lieu où se jouent les drames invisibles de l’héritage spirituel. C’est dans ce creuset sacré que s’enracinent la bénédiction comme la malédiction, la vocation comme la déviance, la sainteté comme la perversion. L’ouvrage que le lecteur tient entre ses mains ose pénétrer, avec courage et discernement, l’un des domaines les plus sensibles, les plus redoutés et pourtant les plus déterminants de l’anthropologie spirituelle africaine : la transmission familiale de la sorcellerie à travers le germe spirituel appelé </w:t>
      </w:r>
      <w:proofErr w:type="spellStart"/>
      <w:r w:rsidRPr="00520072">
        <w:rPr>
          <w:rFonts w:ascii="Times New Roman" w:hAnsi="Times New Roman" w:cs="Times New Roman"/>
          <w:sz w:val="18"/>
          <w:szCs w:val="18"/>
        </w:rPr>
        <w:t>Évu</w:t>
      </w:r>
      <w:proofErr w:type="spellEnd"/>
      <w:r w:rsidRPr="00520072">
        <w:rPr>
          <w:rFonts w:ascii="Times New Roman" w:hAnsi="Times New Roman" w:cs="Times New Roman"/>
          <w:sz w:val="18"/>
          <w:szCs w:val="18"/>
        </w:rPr>
        <w:t xml:space="preserve">. </w:t>
      </w:r>
    </w:p>
    <w:p w14:paraId="63C1CC16"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À travers une approche clinique inédite, fondée sur la Médecine Traditionnelle des Handicapés Spirituels (MTHS), ce livre ne se contente pas de décrire des croyances ou des récits populaires. Il propose une véritable lecture thérapeutique, théologique et anthropologique des mécanismes invisibles par lesquels des forces spirituelles pathogènes s’insinuent dans la lignée humaine, marquant les corps, les âmes, les destins et les générations. L’</w:t>
      </w:r>
      <w:proofErr w:type="spellStart"/>
      <w:r w:rsidRPr="00520072">
        <w:rPr>
          <w:rFonts w:ascii="Times New Roman" w:hAnsi="Times New Roman" w:cs="Times New Roman"/>
          <w:sz w:val="18"/>
          <w:szCs w:val="18"/>
        </w:rPr>
        <w:t>Évu</w:t>
      </w:r>
      <w:proofErr w:type="spellEnd"/>
      <w:r w:rsidRPr="00520072">
        <w:rPr>
          <w:rFonts w:ascii="Times New Roman" w:hAnsi="Times New Roman" w:cs="Times New Roman"/>
          <w:sz w:val="18"/>
          <w:szCs w:val="18"/>
        </w:rPr>
        <w:t xml:space="preserve"> y est présenté non comme un simple symbole, mais comme un principe actif, un implant spirituel, un noyau de transmission qui structure la déviance, la souffrance, la répétition des échecs, des maladies dites mystiques et des blocages existentiels.  </w:t>
      </w:r>
    </w:p>
    <w:p w14:paraId="7155CE26"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L’originalité majeure de cet ouvrage réside dans l’articulation féconde entre les savoirs traditionnels africains, l’expérience clinique de la prise en charge des handicapés spirituels et l’éclairage de la théologie chrétienne </w:t>
      </w:r>
      <w:proofErr w:type="spellStart"/>
      <w:r w:rsidRPr="00520072">
        <w:rPr>
          <w:rFonts w:ascii="Times New Roman" w:hAnsi="Times New Roman" w:cs="Times New Roman"/>
          <w:sz w:val="18"/>
          <w:szCs w:val="18"/>
        </w:rPr>
        <w:t>inculturée</w:t>
      </w:r>
      <w:proofErr w:type="spellEnd"/>
      <w:r w:rsidRPr="00520072">
        <w:rPr>
          <w:rFonts w:ascii="Times New Roman" w:hAnsi="Times New Roman" w:cs="Times New Roman"/>
          <w:sz w:val="18"/>
          <w:szCs w:val="18"/>
        </w:rPr>
        <w:t xml:space="preserve">. L’auteur montre avec finesse que la sorcellerie n’est pas seulement un phénomène social ou religieux, mais une pathologie spirituelle systémique, inscrite dans des dynamiques familiales, généalogiques et initiatiques. </w:t>
      </w:r>
    </w:p>
    <w:p w14:paraId="3F53BF7D"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La famille apparaît alors comme un espace ambivalent : lieu de protection et de bénédiction, mais aussi, lorsque l’alliance avec Dieu est rompue, canal de contamination et de reproduction des puissances de ténèbres. En nommant </w:t>
      </w:r>
      <w:proofErr w:type="spellStart"/>
      <w:r w:rsidRPr="00520072">
        <w:rPr>
          <w:rFonts w:ascii="Times New Roman" w:hAnsi="Times New Roman" w:cs="Times New Roman"/>
          <w:sz w:val="18"/>
          <w:szCs w:val="18"/>
        </w:rPr>
        <w:t>évu</w:t>
      </w:r>
      <w:proofErr w:type="spellEnd"/>
      <w:r w:rsidRPr="00520072">
        <w:rPr>
          <w:rFonts w:ascii="Times New Roman" w:hAnsi="Times New Roman" w:cs="Times New Roman"/>
          <w:sz w:val="18"/>
          <w:szCs w:val="18"/>
        </w:rPr>
        <w:t xml:space="preserve"> (béti), </w:t>
      </w:r>
      <w:proofErr w:type="spellStart"/>
      <w:r w:rsidRPr="00520072">
        <w:rPr>
          <w:rFonts w:ascii="Times New Roman" w:hAnsi="Times New Roman" w:cs="Times New Roman"/>
          <w:sz w:val="18"/>
          <w:szCs w:val="18"/>
        </w:rPr>
        <w:t>evur</w:t>
      </w:r>
      <w:proofErr w:type="spellEnd"/>
      <w:r w:rsidRPr="00520072">
        <w:rPr>
          <w:rFonts w:ascii="Times New Roman" w:hAnsi="Times New Roman" w:cs="Times New Roman"/>
          <w:sz w:val="18"/>
          <w:szCs w:val="18"/>
        </w:rPr>
        <w:t xml:space="preserve"> (fang), </w:t>
      </w:r>
      <w:proofErr w:type="spellStart"/>
      <w:r w:rsidRPr="00520072">
        <w:rPr>
          <w:rFonts w:ascii="Times New Roman" w:hAnsi="Times New Roman" w:cs="Times New Roman"/>
          <w:sz w:val="18"/>
          <w:szCs w:val="18"/>
        </w:rPr>
        <w:t>ehu</w:t>
      </w:r>
      <w:proofErr w:type="spellEnd"/>
      <w:r w:rsidRPr="00520072">
        <w:rPr>
          <w:rFonts w:ascii="Times New Roman" w:hAnsi="Times New Roman" w:cs="Times New Roman"/>
          <w:sz w:val="18"/>
          <w:szCs w:val="18"/>
        </w:rPr>
        <w:t xml:space="preserve"> (</w:t>
      </w:r>
      <w:proofErr w:type="spellStart"/>
      <w:r w:rsidRPr="00520072">
        <w:rPr>
          <w:rFonts w:ascii="Times New Roman" w:hAnsi="Times New Roman" w:cs="Times New Roman"/>
          <w:sz w:val="18"/>
          <w:szCs w:val="18"/>
        </w:rPr>
        <w:t>bakoko</w:t>
      </w:r>
      <w:proofErr w:type="spellEnd"/>
      <w:r w:rsidRPr="00520072">
        <w:rPr>
          <w:rFonts w:ascii="Times New Roman" w:hAnsi="Times New Roman" w:cs="Times New Roman"/>
          <w:sz w:val="18"/>
          <w:szCs w:val="18"/>
        </w:rPr>
        <w:t xml:space="preserve">), hum (bassa), </w:t>
      </w:r>
      <w:proofErr w:type="spellStart"/>
      <w:r w:rsidRPr="00520072">
        <w:rPr>
          <w:rFonts w:ascii="Times New Roman" w:hAnsi="Times New Roman" w:cs="Times New Roman"/>
          <w:sz w:val="18"/>
          <w:szCs w:val="18"/>
        </w:rPr>
        <w:t>ewusu</w:t>
      </w:r>
      <w:proofErr w:type="spellEnd"/>
      <w:r w:rsidRPr="00520072">
        <w:rPr>
          <w:rFonts w:ascii="Times New Roman" w:hAnsi="Times New Roman" w:cs="Times New Roman"/>
          <w:sz w:val="18"/>
          <w:szCs w:val="18"/>
        </w:rPr>
        <w:t xml:space="preserve"> </w:t>
      </w:r>
      <w:r w:rsidRPr="00520072">
        <w:rPr>
          <w:rFonts w:ascii="Times New Roman" w:hAnsi="Times New Roman" w:cs="Times New Roman"/>
          <w:sz w:val="18"/>
          <w:szCs w:val="18"/>
        </w:rPr>
        <w:lastRenderedPageBreak/>
        <w:t>(</w:t>
      </w:r>
      <w:proofErr w:type="spellStart"/>
      <w:r w:rsidRPr="00520072">
        <w:rPr>
          <w:rFonts w:ascii="Times New Roman" w:hAnsi="Times New Roman" w:cs="Times New Roman"/>
          <w:sz w:val="18"/>
          <w:szCs w:val="18"/>
        </w:rPr>
        <w:t>malimba-duala</w:t>
      </w:r>
      <w:proofErr w:type="spellEnd"/>
      <w:r w:rsidRPr="00520072">
        <w:rPr>
          <w:rFonts w:ascii="Times New Roman" w:hAnsi="Times New Roman" w:cs="Times New Roman"/>
          <w:sz w:val="18"/>
          <w:szCs w:val="18"/>
        </w:rPr>
        <w:t xml:space="preserve">), </w:t>
      </w:r>
      <w:proofErr w:type="spellStart"/>
      <w:r w:rsidRPr="00520072">
        <w:rPr>
          <w:rFonts w:ascii="Times New Roman" w:hAnsi="Times New Roman" w:cs="Times New Roman"/>
          <w:sz w:val="18"/>
          <w:szCs w:val="18"/>
        </w:rPr>
        <w:t>njemba</w:t>
      </w:r>
      <w:proofErr w:type="spellEnd"/>
      <w:r w:rsidRPr="00520072">
        <w:rPr>
          <w:rFonts w:ascii="Times New Roman" w:hAnsi="Times New Roman" w:cs="Times New Roman"/>
          <w:sz w:val="18"/>
          <w:szCs w:val="18"/>
        </w:rPr>
        <w:t xml:space="preserve"> (</w:t>
      </w:r>
      <w:proofErr w:type="spellStart"/>
      <w:r w:rsidRPr="00520072">
        <w:rPr>
          <w:rFonts w:ascii="Times New Roman" w:hAnsi="Times New Roman" w:cs="Times New Roman"/>
          <w:sz w:val="18"/>
          <w:szCs w:val="18"/>
        </w:rPr>
        <w:t>batanga</w:t>
      </w:r>
      <w:proofErr w:type="spellEnd"/>
      <w:r w:rsidRPr="00520072">
        <w:rPr>
          <w:rFonts w:ascii="Times New Roman" w:hAnsi="Times New Roman" w:cs="Times New Roman"/>
          <w:sz w:val="18"/>
          <w:szCs w:val="18"/>
        </w:rPr>
        <w:t xml:space="preserve">), </w:t>
      </w:r>
      <w:proofErr w:type="spellStart"/>
      <w:r w:rsidRPr="00520072">
        <w:rPr>
          <w:rFonts w:ascii="Times New Roman" w:hAnsi="Times New Roman" w:cs="Times New Roman"/>
          <w:sz w:val="18"/>
          <w:szCs w:val="18"/>
        </w:rPr>
        <w:t>pulemb</w:t>
      </w:r>
      <w:proofErr w:type="spellEnd"/>
      <w:r w:rsidRPr="00520072">
        <w:rPr>
          <w:rFonts w:ascii="Times New Roman" w:hAnsi="Times New Roman" w:cs="Times New Roman"/>
          <w:sz w:val="18"/>
          <w:szCs w:val="18"/>
        </w:rPr>
        <w:t xml:space="preserve"> (yambassa, </w:t>
      </w:r>
      <w:proofErr w:type="spellStart"/>
      <w:r w:rsidRPr="00520072">
        <w:rPr>
          <w:rFonts w:ascii="Times New Roman" w:hAnsi="Times New Roman" w:cs="Times New Roman"/>
          <w:sz w:val="18"/>
          <w:szCs w:val="18"/>
        </w:rPr>
        <w:t>bafia</w:t>
      </w:r>
      <w:proofErr w:type="spellEnd"/>
      <w:r w:rsidRPr="00520072">
        <w:rPr>
          <w:rFonts w:ascii="Times New Roman" w:hAnsi="Times New Roman" w:cs="Times New Roman"/>
          <w:sz w:val="18"/>
          <w:szCs w:val="18"/>
        </w:rPr>
        <w:t xml:space="preserve">), </w:t>
      </w:r>
      <w:proofErr w:type="spellStart"/>
      <w:r w:rsidRPr="00520072">
        <w:rPr>
          <w:rFonts w:ascii="Times New Roman" w:hAnsi="Times New Roman" w:cs="Times New Roman"/>
          <w:sz w:val="18"/>
          <w:szCs w:val="18"/>
        </w:rPr>
        <w:t>nekang</w:t>
      </w:r>
      <w:proofErr w:type="spellEnd"/>
      <w:r w:rsidRPr="00520072">
        <w:rPr>
          <w:rFonts w:ascii="Times New Roman" w:hAnsi="Times New Roman" w:cs="Times New Roman"/>
          <w:sz w:val="18"/>
          <w:szCs w:val="18"/>
        </w:rPr>
        <w:t xml:space="preserve"> (bamiléké), </w:t>
      </w:r>
      <w:proofErr w:type="spellStart"/>
      <w:r w:rsidRPr="00520072">
        <w:rPr>
          <w:rFonts w:ascii="Times New Roman" w:hAnsi="Times New Roman" w:cs="Times New Roman"/>
          <w:sz w:val="18"/>
          <w:szCs w:val="18"/>
        </w:rPr>
        <w:t>tsafi</w:t>
      </w:r>
      <w:proofErr w:type="spellEnd"/>
      <w:r w:rsidRPr="00520072">
        <w:rPr>
          <w:rFonts w:ascii="Times New Roman" w:hAnsi="Times New Roman" w:cs="Times New Roman"/>
          <w:sz w:val="18"/>
          <w:szCs w:val="18"/>
        </w:rPr>
        <w:t xml:space="preserve"> (</w:t>
      </w:r>
      <w:proofErr w:type="spellStart"/>
      <w:r w:rsidRPr="00520072">
        <w:rPr>
          <w:rFonts w:ascii="Times New Roman" w:hAnsi="Times New Roman" w:cs="Times New Roman"/>
          <w:sz w:val="18"/>
          <w:szCs w:val="18"/>
        </w:rPr>
        <w:t>fulfuldé</w:t>
      </w:r>
      <w:proofErr w:type="spellEnd"/>
      <w:r w:rsidRPr="00520072">
        <w:rPr>
          <w:rFonts w:ascii="Times New Roman" w:hAnsi="Times New Roman" w:cs="Times New Roman"/>
          <w:sz w:val="18"/>
          <w:szCs w:val="18"/>
        </w:rPr>
        <w:t xml:space="preserve">), </w:t>
      </w:r>
      <w:proofErr w:type="spellStart"/>
      <w:r w:rsidRPr="00520072">
        <w:rPr>
          <w:rFonts w:ascii="Times New Roman" w:hAnsi="Times New Roman" w:cs="Times New Roman"/>
          <w:sz w:val="18"/>
          <w:szCs w:val="18"/>
        </w:rPr>
        <w:t>njimbo</w:t>
      </w:r>
      <w:proofErr w:type="spellEnd"/>
      <w:r w:rsidRPr="00520072">
        <w:rPr>
          <w:rFonts w:ascii="Times New Roman" w:hAnsi="Times New Roman" w:cs="Times New Roman"/>
          <w:sz w:val="18"/>
          <w:szCs w:val="18"/>
        </w:rPr>
        <w:t xml:space="preserve"> (</w:t>
      </w:r>
      <w:proofErr w:type="spellStart"/>
      <w:r w:rsidRPr="00520072">
        <w:rPr>
          <w:rFonts w:ascii="Times New Roman" w:hAnsi="Times New Roman" w:cs="Times New Roman"/>
          <w:sz w:val="18"/>
          <w:szCs w:val="18"/>
        </w:rPr>
        <w:t>gumba</w:t>
      </w:r>
      <w:proofErr w:type="spellEnd"/>
      <w:r w:rsidRPr="00520072">
        <w:rPr>
          <w:rFonts w:ascii="Times New Roman" w:hAnsi="Times New Roman" w:cs="Times New Roman"/>
          <w:sz w:val="18"/>
          <w:szCs w:val="18"/>
        </w:rPr>
        <w:t xml:space="preserve">), etc. comme « germe de l’envoûtement », ce livre adopte un langage biomédical transposé au plan spirituel. Il parle d’inoculation, de contamination, de portage, de symptômes, de rechutes, de pronostic et de thérapie. </w:t>
      </w:r>
    </w:p>
    <w:p w14:paraId="3590C87B" w14:textId="42B44B2C"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Cette transposition n’est pas fortuite : elle inscrit la sorcellerie dans une véritable nosologie spirituelle, où les troubles de l’âme et de la destinée appellent un diagnostic rigoureux et une prise en charge intégrale, à la fois traditionnelle, spirituelle et chrétienne. Loin de tout sensationnalisme, l’ouvrage invite à un discernement profond. Il met en garde contre les lectures simplistes, les amalgames et les abus, tout en affirmant avec force la réalité du combat spirituel et la nécessité d’une guérison qui touche la </w:t>
      </w:r>
      <w:proofErr w:type="gramStart"/>
      <w:r w:rsidRPr="00520072">
        <w:rPr>
          <w:rFonts w:ascii="Times New Roman" w:hAnsi="Times New Roman" w:cs="Times New Roman"/>
          <w:sz w:val="18"/>
          <w:szCs w:val="18"/>
        </w:rPr>
        <w:t>racine,  la</w:t>
      </w:r>
      <w:proofErr w:type="gramEnd"/>
      <w:r w:rsidRPr="00520072">
        <w:rPr>
          <w:rFonts w:ascii="Times New Roman" w:hAnsi="Times New Roman" w:cs="Times New Roman"/>
          <w:sz w:val="18"/>
          <w:szCs w:val="18"/>
        </w:rPr>
        <w:t xml:space="preserve"> lignée et l’alliance. </w:t>
      </w:r>
    </w:p>
    <w:p w14:paraId="45912D92"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La MTHS y apparaît comme une voie de restauration globale, capable d’accompagner l’homme blessé dans son corps, son esprit, son histoire familiale et sa relation à Dieu. Cette œuvre s’adresse aux thérapeutes spirituels, aux chercheurs en anthropologie religieuse, aux pasteurs, aux prêtres, aux responsables traditionnels, mais aussi à tous ceux qui, dans leur chair ou dans leur famille, portent le poids d’héritages obscurs et aspirent à la lumière. </w:t>
      </w:r>
    </w:p>
    <w:p w14:paraId="00FBF520"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Elle ouvre un espace de compréhension, de libération et de réconciliation, en rappelant que toute transmission peut être interrompue, purifiée et transfigurée par la grâce, la vérité et la puissance du Dieu vivant. Puisse ce livre contribuer à briser les chaînes invisibles, à restaurer les alliances brisées et à faire émerger, au cœur même des lignées blessées, une humanité réconciliée, guérie et rendue à sa vocation première : être temple de Dieu et demeure de la Vie. </w:t>
      </w:r>
    </w:p>
    <w:p w14:paraId="120B23A1" w14:textId="6D8E23AF"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L’EDITEUR</w:t>
      </w:r>
    </w:p>
    <w:p w14:paraId="1FD761A7" w14:textId="24CA089B" w:rsidR="00520072" w:rsidRPr="00520072" w:rsidRDefault="00520072" w:rsidP="00520072">
      <w:pPr>
        <w:spacing w:line="360" w:lineRule="auto"/>
        <w:jc w:val="both"/>
        <w:rPr>
          <w:rFonts w:ascii="Times New Roman" w:hAnsi="Times New Roman" w:cs="Times New Roman"/>
          <w:sz w:val="18"/>
          <w:szCs w:val="18"/>
        </w:rPr>
      </w:pPr>
      <w:r w:rsidRPr="00520072">
        <w:rPr>
          <w:rFonts w:ascii="Times New Roman" w:hAnsi="Times New Roman" w:cs="Times New Roman"/>
          <w:sz w:val="18"/>
          <w:szCs w:val="18"/>
        </w:rPr>
        <w:br w:type="page"/>
      </w:r>
    </w:p>
    <w:p w14:paraId="75B8D9FA" w14:textId="022BF229"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lastRenderedPageBreak/>
        <w:t>AVANT-PROPOS</w:t>
      </w:r>
    </w:p>
    <w:p w14:paraId="6CB25C8B"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État actuel des connaissances scientifiques sur la Sorcellerie en Afrique Dans le panorama africain contemporain, la sorcellerie ne se présente pas seulement comme un phénomène ancien et populaire ; elle est au cœur d’un imaginaire collectif qui traverse les époques, s’insinuant dans la vie quotidienne, la politique, la santé et les pratiques religieuses. Les églises guérisseuses, dont le succès commercial et spirituel est incontestable, s’inscrivent dans une logique dichotomique du monde : d’un côté la puissance divine, lumière salvatrice, et de l’autre les forces du Mal, menaçantes et omniprésentes. Dans cette vision, chaque instant de la vie des fidèles devient un champ de bataille invisible. La diabolisation des esprits traditionnels, des ancêtres et des génies protecteurs, constitue le moteur principal de l’expansion des pentecôtismes africains. Ce phénomène n’est pas accidentel : il traduit la manière dont la sorcellerie, loin de disparaître, s’inscrit dans la modernité africaine, accompagnant l’essor des mouvements pentecôtistes locaux (Tonda, 2000, p.48). </w:t>
      </w:r>
    </w:p>
    <w:p w14:paraId="17CD07F3"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La croyance selon laquelle la sorcellerie s’est intensifiée ces dernières décennies est alimentée par de nombreux évangélistes américains et par une diffusion médiatique massive (Prince, </w:t>
      </w:r>
      <w:proofErr w:type="gramStart"/>
      <w:r w:rsidRPr="00520072">
        <w:rPr>
          <w:rFonts w:ascii="Times New Roman" w:hAnsi="Times New Roman" w:cs="Times New Roman"/>
          <w:sz w:val="18"/>
          <w:szCs w:val="18"/>
        </w:rPr>
        <w:t>1998;</w:t>
      </w:r>
      <w:proofErr w:type="gramEnd"/>
      <w:r w:rsidRPr="00520072">
        <w:rPr>
          <w:rFonts w:ascii="Times New Roman" w:hAnsi="Times New Roman" w:cs="Times New Roman"/>
          <w:sz w:val="18"/>
          <w:szCs w:val="18"/>
        </w:rPr>
        <w:t xml:space="preserve"> Joyner, 2004, p.106). En Afrique subsaharienne, l’implantation des églises guérisseuses illustre la globalisation de l’imaginaire </w:t>
      </w:r>
      <w:proofErr w:type="spellStart"/>
      <w:r w:rsidRPr="00520072">
        <w:rPr>
          <w:rFonts w:ascii="Times New Roman" w:hAnsi="Times New Roman" w:cs="Times New Roman"/>
          <w:sz w:val="18"/>
          <w:szCs w:val="18"/>
        </w:rPr>
        <w:t>sorcellaire</w:t>
      </w:r>
      <w:proofErr w:type="spellEnd"/>
      <w:r w:rsidRPr="00520072">
        <w:rPr>
          <w:rFonts w:ascii="Times New Roman" w:hAnsi="Times New Roman" w:cs="Times New Roman"/>
          <w:sz w:val="18"/>
          <w:szCs w:val="18"/>
        </w:rPr>
        <w:t xml:space="preserve">, touchant même des milieux catholiques autrefois sceptiques. La sorcellerie est devenue un objet de débat permanent, dans les chaînes de télévision, les radios, les taxis, les marchés, </w:t>
      </w:r>
      <w:proofErr w:type="gramStart"/>
      <w:r w:rsidRPr="00520072">
        <w:rPr>
          <w:rFonts w:ascii="Times New Roman" w:hAnsi="Times New Roman" w:cs="Times New Roman"/>
          <w:sz w:val="18"/>
          <w:szCs w:val="18"/>
        </w:rPr>
        <w:t>les  quartiers</w:t>
      </w:r>
      <w:proofErr w:type="gramEnd"/>
      <w:r w:rsidRPr="00520072">
        <w:rPr>
          <w:rFonts w:ascii="Times New Roman" w:hAnsi="Times New Roman" w:cs="Times New Roman"/>
          <w:sz w:val="18"/>
          <w:szCs w:val="18"/>
        </w:rPr>
        <w:t xml:space="preserve">, et au sein des séminaires, conférences et colloques internationaux réunissant spécialistes et universitaires venus des cinq continents. </w:t>
      </w:r>
    </w:p>
    <w:p w14:paraId="0E99F899"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Parmi ces rencontres scientifiques, certains colloques organisés par l’Église catholique africaine ont été particulièrement marquants : </w:t>
      </w:r>
    </w:p>
    <w:p w14:paraId="6C10440D"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sym w:font="Symbol" w:char="F0B7"/>
      </w:r>
      <w:r w:rsidRPr="00520072">
        <w:rPr>
          <w:rFonts w:ascii="Times New Roman" w:hAnsi="Times New Roman" w:cs="Times New Roman"/>
          <w:sz w:val="18"/>
          <w:szCs w:val="18"/>
        </w:rPr>
        <w:t xml:space="preserve"> Justice et Sorcellerie (2005, Yaoundé, UCCAC) ; </w:t>
      </w:r>
    </w:p>
    <w:p w14:paraId="3A509437"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lastRenderedPageBreak/>
        <w:sym w:font="Symbol" w:char="F0B7"/>
      </w:r>
      <w:r w:rsidRPr="00520072">
        <w:rPr>
          <w:rFonts w:ascii="Times New Roman" w:hAnsi="Times New Roman" w:cs="Times New Roman"/>
          <w:sz w:val="18"/>
          <w:szCs w:val="18"/>
        </w:rPr>
        <w:t xml:space="preserve"> Religion, rationalité et croyance à la sorcellerie en Afrique : défis théologiques et pastoraux (2015, Yaoundé, UCCAC) ; </w:t>
      </w:r>
    </w:p>
    <w:p w14:paraId="4204E449"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sym w:font="Symbol" w:char="F0B7"/>
      </w:r>
      <w:r w:rsidRPr="00520072">
        <w:rPr>
          <w:rFonts w:ascii="Times New Roman" w:hAnsi="Times New Roman" w:cs="Times New Roman"/>
          <w:sz w:val="18"/>
          <w:szCs w:val="18"/>
        </w:rPr>
        <w:t xml:space="preserve"> La foi chrétienne face à la sorcellerie : perspectives théologiques et pastorales pour l’Église et les sociétés africaines (2019, Abidjan, ICMA) ; </w:t>
      </w:r>
    </w:p>
    <w:p w14:paraId="08C0A2C7"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sym w:font="Symbol" w:char="F0B7"/>
      </w:r>
      <w:r w:rsidRPr="00520072">
        <w:rPr>
          <w:rFonts w:ascii="Times New Roman" w:hAnsi="Times New Roman" w:cs="Times New Roman"/>
          <w:sz w:val="18"/>
          <w:szCs w:val="18"/>
        </w:rPr>
        <w:t xml:space="preserve"> Sorcellerie en Afrique : quels chemins de libération ? (2021, Abidjan, ICMA). Ces événements ont permis de dégager trois axes essentiels pour la compréhension scientifique et pastorale de la sorcellerie : </w:t>
      </w:r>
    </w:p>
    <w:p w14:paraId="406A20C3"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1. L’objectivation du phénomène ; </w:t>
      </w:r>
    </w:p>
    <w:p w14:paraId="040EBA66"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2. La position de l’Église catholique sur la croyance à la sorcellerie ; </w:t>
      </w:r>
    </w:p>
    <w:p w14:paraId="6DFDC6F3"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3. Les prescriptions thérapeutiques et pastorales destinées aux fidèles et à la société. </w:t>
      </w:r>
    </w:p>
    <w:p w14:paraId="421AE591"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3.1 – Objectivation du phénomène de la sorcellerie L’objectivation scientifique de la sorcellerie repose sur les colloques et rencontres internationales, où universitaires et praticiens se confrontent à l’inexplicable. </w:t>
      </w:r>
    </w:p>
    <w:p w14:paraId="36FF3D4E"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Le colloque Justice et Sorcellerie (2005, Yaoundé) interrogeait : comment juger la sorcellerie ? Les débats ont rapidement mis en lumière une évidence : la sorcellerie n’est pas seulement une croyance, mais un 18 véritable réceptacle des angoisses et fantasmes individuels et collectifs, traversant les rapports politiques, économiques et sociaux (</w:t>
      </w:r>
      <w:proofErr w:type="spellStart"/>
      <w:r w:rsidRPr="00520072">
        <w:rPr>
          <w:rFonts w:ascii="Times New Roman" w:hAnsi="Times New Roman" w:cs="Times New Roman"/>
          <w:sz w:val="18"/>
          <w:szCs w:val="18"/>
        </w:rPr>
        <w:t>Geschiere</w:t>
      </w:r>
      <w:proofErr w:type="spellEnd"/>
      <w:r w:rsidRPr="00520072">
        <w:rPr>
          <w:rFonts w:ascii="Times New Roman" w:hAnsi="Times New Roman" w:cs="Times New Roman"/>
          <w:sz w:val="18"/>
          <w:szCs w:val="18"/>
        </w:rPr>
        <w:t xml:space="preserve">, 1995). Rosny (2006) résumait cette tension : « Dire qu’elle n’existe pas, c’est ignorer l’existence d’une certaine perversité dans le monde, qui s’exprime dans chaque société selon des représentations culturelles précises. » Dans cette perspective, la sorcellerie se révèle comme un Mal polysémique, à la fois indicible et partagé, que l’homme découvre et expérimente dans la trame de son quotidien. Pour certains théologiens, le Mal préexiste à l’homme, et la sorcellerie devient un vecteur par lequel il peut être orienté vers le bien ou le mal (Hegba, cité par Rosny, 2006). </w:t>
      </w:r>
    </w:p>
    <w:p w14:paraId="38797C10"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lastRenderedPageBreak/>
        <w:t xml:space="preserve">Ainsi, l’intelligibilité de la sorcellerie constitue un dilemme : reconnaître son existence pour en gérer les effets, ou tenter de la réduire à un objet compréhensible pour en dissoudre l’angoisse. L’approche la plus féconde combine les sciences sociales et la cognition humaine, explorant comment les croyances sorcières se forment, se légitiment et se propagent dans des sociétés en mutation, où la ville et le monde moderne deviennent des terrains d’influence inédits (Yengo, 2008). </w:t>
      </w:r>
    </w:p>
    <w:p w14:paraId="40008B71" w14:textId="3D580084"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3.2 – L’Église catholique et la sorcellerie : une controverse permanente Les colloques récents ont révélé l’urgence pour l’Église catholique de nuancer sa position : si la sorcellerie échappe parfois à la rationalité, elle a un impact réel et mesurable sur la vie sociale et spirituelle.  </w:t>
      </w:r>
    </w:p>
    <w:p w14:paraId="7117AE00"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Lors du colloque de 2015 (Religion, rationalité et croyance à la sorcellerie en Afrique), Monseigneur Jean Mbarga dénonçait les tares sociales liées à la peur de la sorcellerie, tandis que Monseigneur Joseph Ndi Okalla insistait sur la nécessité d’articuler foi et raison pour protéger les populations contre l’exploitation de leurs angoisses. Les discussions portaient sur des enjeux cruciaux : comment éduquer les fidèles, discerner le phénomène de la sorcellerie et orienter l’évangélisation de la culture africaine vers un développement intégral. L’abbé Jean Bernard Salla, doyen de la faculté de théologie de l’UCAC, résumait le constat : la peur généralisée, la propension au soupçon et la recherche de boucs émissaires alimentent la ruée vers les églises guérisseuses et les pratiques occultes. </w:t>
      </w:r>
    </w:p>
    <w:p w14:paraId="7403CFD8"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3.2.1 – Scepticisme et approche académique Toutefois, le scepticisme persiste. Le professeur Ramsès Boa Thiémélé (Université Félix Houphouët-Boigny) affirmait : « La sorcellerie n’existe pas comme phénomène surnaturel, mais comme propagande et manipulation des consciences collectives. » Pour l’Église et les chercheurs, le défi consiste à libérer les populations des peurs irrationnelles tout en respectant les réalités culturelles et spirituelles. Les colloques de 2019 et 2021 à Abidjan ont exploré ces dimensions, proposant des chemins de libération tant individuels que communautaires, face aux persécutions et pratiques occultes. </w:t>
      </w:r>
    </w:p>
    <w:p w14:paraId="7C3E21A3"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lastRenderedPageBreak/>
        <w:t xml:space="preserve">3.3 – Prescriptions thérapeutiques et pastorales Les recommandations convergent vers trois points essentiels : </w:t>
      </w:r>
    </w:p>
    <w:p w14:paraId="0E11532E"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 1. Renoncer aux pratiques des charlatans et marabouts. L’Église insiste sur le fait que la guérison authentique relève de Dieu, et non des pratiques occultes. </w:t>
      </w:r>
    </w:p>
    <w:p w14:paraId="1B6CF414"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2. Faire preuve de discernement. Selon le Père Fabien Gbortsu, il est essentiel de distinguer le spirituel du matériel : lier tous les événements à des forces invisibles empêche le développement des potentiels humains. </w:t>
      </w:r>
    </w:p>
    <w:p w14:paraId="4C5CA1A3" w14:textId="77777777"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 xml:space="preserve">3. Reconnaître la réalité des effets occultes. La sorcellerie incarne une hostilité latente entre les êtres, que ce soit sous forme de maladies, malheurs ou perturbations sociales. Elle agit comme une force invisible, parfois négligée par la rationalité mais incontestablement présente dans l’imaginaire collectif. </w:t>
      </w:r>
    </w:p>
    <w:p w14:paraId="701C0489" w14:textId="3DDC6D5F" w:rsidR="00520072" w:rsidRPr="00520072" w:rsidRDefault="00520072" w:rsidP="00520072">
      <w:pPr>
        <w:spacing w:line="360" w:lineRule="auto"/>
        <w:ind w:firstLine="708"/>
        <w:jc w:val="both"/>
        <w:rPr>
          <w:rFonts w:ascii="Times New Roman" w:hAnsi="Times New Roman" w:cs="Times New Roman"/>
          <w:sz w:val="18"/>
          <w:szCs w:val="18"/>
        </w:rPr>
      </w:pPr>
      <w:r w:rsidRPr="00520072">
        <w:rPr>
          <w:rFonts w:ascii="Times New Roman" w:hAnsi="Times New Roman" w:cs="Times New Roman"/>
          <w:sz w:val="18"/>
          <w:szCs w:val="18"/>
        </w:rPr>
        <w:t>En définitive, le recours aux églises guérisseuses répond à une demande sociale et spirituelle : inaccessible financièrement, la médecine moderne ne peut satisfaire l’ensemble des besoins, tandis que les églises guérisseuses offrent un service spirituel, symbolique et thérapeutique, renforçant la foi et la cohésion sociale (Pang, 2002 ; Lado, 2010). La sorcellerie demeure une réalité tangible dans le quotidien africain, façonnant les représentations collectives, les pratiques religieuses et le charisme des communautés. L’Église catholique, tout en conservant son scepticisme critique, gagnerait à s’inspirer des dynamiques des églises guérisseuses, pour canaliser la quête de délivrance et guider les fidèles vers un charisme authentique et intégré.</w:t>
      </w:r>
    </w:p>
    <w:p w14:paraId="79DFFA8B" w14:textId="77777777" w:rsidR="00520072" w:rsidRPr="00520072" w:rsidRDefault="00520072" w:rsidP="00520072">
      <w:pPr>
        <w:spacing w:line="360" w:lineRule="auto"/>
        <w:ind w:firstLine="708"/>
        <w:jc w:val="both"/>
        <w:rPr>
          <w:rFonts w:ascii="Times New Roman" w:hAnsi="Times New Roman" w:cs="Times New Roman"/>
          <w:sz w:val="18"/>
          <w:szCs w:val="18"/>
        </w:rPr>
      </w:pPr>
    </w:p>
    <w:sectPr w:rsidR="00520072" w:rsidRPr="00520072" w:rsidSect="00520072">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072"/>
    <w:rsid w:val="001552F7"/>
    <w:rsid w:val="00186A94"/>
    <w:rsid w:val="001C499D"/>
    <w:rsid w:val="00520072"/>
    <w:rsid w:val="00A26E6B"/>
    <w:rsid w:val="00B04921"/>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0FAA4"/>
  <w15:chartTrackingRefBased/>
  <w15:docId w15:val="{1BDD196A-8129-4314-97AC-7B6DABEE8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00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200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2007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2007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2007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2007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007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007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007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007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2007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2007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2007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2007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2007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007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007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0072"/>
    <w:rPr>
      <w:rFonts w:eastAsiaTheme="majorEastAsia" w:cstheme="majorBidi"/>
      <w:color w:val="272727" w:themeColor="text1" w:themeTint="D8"/>
    </w:rPr>
  </w:style>
  <w:style w:type="paragraph" w:styleId="Titre">
    <w:name w:val="Title"/>
    <w:basedOn w:val="Normal"/>
    <w:next w:val="Normal"/>
    <w:link w:val="TitreCar"/>
    <w:uiPriority w:val="10"/>
    <w:qFormat/>
    <w:rsid w:val="00520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007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007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007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0072"/>
    <w:pPr>
      <w:spacing w:before="160"/>
      <w:jc w:val="center"/>
    </w:pPr>
    <w:rPr>
      <w:i/>
      <w:iCs/>
      <w:color w:val="404040" w:themeColor="text1" w:themeTint="BF"/>
    </w:rPr>
  </w:style>
  <w:style w:type="character" w:customStyle="1" w:styleId="CitationCar">
    <w:name w:val="Citation Car"/>
    <w:basedOn w:val="Policepardfaut"/>
    <w:link w:val="Citation"/>
    <w:uiPriority w:val="29"/>
    <w:rsid w:val="00520072"/>
    <w:rPr>
      <w:i/>
      <w:iCs/>
      <w:color w:val="404040" w:themeColor="text1" w:themeTint="BF"/>
    </w:rPr>
  </w:style>
  <w:style w:type="paragraph" w:styleId="Paragraphedeliste">
    <w:name w:val="List Paragraph"/>
    <w:basedOn w:val="Normal"/>
    <w:uiPriority w:val="34"/>
    <w:qFormat/>
    <w:rsid w:val="00520072"/>
    <w:pPr>
      <w:ind w:left="720"/>
      <w:contextualSpacing/>
    </w:pPr>
  </w:style>
  <w:style w:type="character" w:styleId="Accentuationintense">
    <w:name w:val="Intense Emphasis"/>
    <w:basedOn w:val="Policepardfaut"/>
    <w:uiPriority w:val="21"/>
    <w:qFormat/>
    <w:rsid w:val="00520072"/>
    <w:rPr>
      <w:i/>
      <w:iCs/>
      <w:color w:val="2F5496" w:themeColor="accent1" w:themeShade="BF"/>
    </w:rPr>
  </w:style>
  <w:style w:type="paragraph" w:styleId="Citationintense">
    <w:name w:val="Intense Quote"/>
    <w:basedOn w:val="Normal"/>
    <w:next w:val="Normal"/>
    <w:link w:val="CitationintenseCar"/>
    <w:uiPriority w:val="30"/>
    <w:qFormat/>
    <w:rsid w:val="005200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20072"/>
    <w:rPr>
      <w:i/>
      <w:iCs/>
      <w:color w:val="2F5496" w:themeColor="accent1" w:themeShade="BF"/>
    </w:rPr>
  </w:style>
  <w:style w:type="character" w:styleId="Rfrenceintense">
    <w:name w:val="Intense Reference"/>
    <w:basedOn w:val="Policepardfaut"/>
    <w:uiPriority w:val="32"/>
    <w:qFormat/>
    <w:rsid w:val="005200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2292</Words>
  <Characters>12612</Characters>
  <Application>Microsoft Office Word</Application>
  <DocSecurity>0</DocSecurity>
  <Lines>105</Lines>
  <Paragraphs>29</Paragraphs>
  <ScaleCrop>false</ScaleCrop>
  <Company/>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2026-07-20T16:19:00Z</dcterms:created>
  <dcterms:modified xsi:type="dcterms:W3CDTF">2026-07-20T16:26:00Z</dcterms:modified>
</cp:coreProperties>
</file>