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78FE" w14:textId="77777777" w:rsidR="008F064E" w:rsidRPr="00255BC4" w:rsidRDefault="008F064E" w:rsidP="00255BC4">
      <w:pPr>
        <w:spacing w:line="360" w:lineRule="auto"/>
        <w:jc w:val="both"/>
        <w:rPr>
          <w:rFonts w:ascii="Times New Roman" w:hAnsi="Times New Roman" w:cs="Times New Roman"/>
          <w:sz w:val="18"/>
          <w:szCs w:val="18"/>
        </w:rPr>
      </w:pPr>
    </w:p>
    <w:p w14:paraId="76C31DA0" w14:textId="77777777" w:rsidR="008F064E" w:rsidRPr="00255BC4" w:rsidRDefault="008F064E" w:rsidP="00255BC4">
      <w:pPr>
        <w:spacing w:line="360" w:lineRule="auto"/>
        <w:jc w:val="both"/>
        <w:rPr>
          <w:rFonts w:ascii="Times New Roman" w:hAnsi="Times New Roman" w:cs="Times New Roman"/>
          <w:sz w:val="18"/>
          <w:szCs w:val="18"/>
        </w:rPr>
      </w:pPr>
    </w:p>
    <w:p w14:paraId="616D5436" w14:textId="77777777" w:rsidR="008F064E" w:rsidRPr="00255BC4" w:rsidRDefault="008F064E" w:rsidP="00255BC4">
      <w:pPr>
        <w:spacing w:line="360" w:lineRule="auto"/>
        <w:jc w:val="both"/>
        <w:rPr>
          <w:rFonts w:ascii="Times New Roman" w:hAnsi="Times New Roman" w:cs="Times New Roman"/>
          <w:sz w:val="18"/>
          <w:szCs w:val="18"/>
        </w:rPr>
      </w:pPr>
    </w:p>
    <w:p w14:paraId="35048FB4" w14:textId="36547731" w:rsidR="008F064E"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t xml:space="preserve">LA VIE APRES LA MORT </w:t>
      </w:r>
    </w:p>
    <w:p w14:paraId="027C2249" w14:textId="2C3CD6AE" w:rsidR="00186A94"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t>Approche clinique de la Médecine Traditionnelle des Handicapés Spirituels (MTHS)</w:t>
      </w:r>
    </w:p>
    <w:p w14:paraId="72A51548" w14:textId="422E58B4" w:rsidR="008F064E"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br w:type="page"/>
      </w:r>
    </w:p>
    <w:p w14:paraId="070DBA73" w14:textId="00668882" w:rsidR="008F064E"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lastRenderedPageBreak/>
        <w:t>LES CLÉFS DU SUCCÈS DE L’ÉCOLE DU FUTUR</w:t>
      </w:r>
    </w:p>
    <w:p w14:paraId="2B5A6E1F"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6474468B"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255BC4">
        <w:rPr>
          <w:rFonts w:ascii="Times New Roman" w:hAnsi="Times New Roman" w:cs="Times New Roman"/>
          <w:sz w:val="18"/>
          <w:szCs w:val="18"/>
        </w:rPr>
        <w:t>des cinq continent</w:t>
      </w:r>
      <w:proofErr w:type="gramEnd"/>
      <w:r w:rsidRPr="00255BC4">
        <w:rPr>
          <w:rFonts w:ascii="Times New Roman" w:hAnsi="Times New Roman" w:cs="Times New Roman"/>
          <w:sz w:val="18"/>
          <w:szCs w:val="18"/>
        </w:rPr>
        <w:t xml:space="preserve"> de la Planète Terre. </w:t>
      </w:r>
    </w:p>
    <w:p w14:paraId="6A505C50"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175EA2AA" w14:textId="24932056"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7985185A"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255BC4">
        <w:rPr>
          <w:rFonts w:ascii="Times New Roman" w:hAnsi="Times New Roman" w:cs="Times New Roman"/>
          <w:sz w:val="18"/>
          <w:szCs w:val="18"/>
        </w:rPr>
        <w:t>sacerdoce;</w:t>
      </w:r>
      <w:proofErr w:type="gramEnd"/>
      <w:r w:rsidRPr="00255BC4">
        <w:rPr>
          <w:rFonts w:ascii="Times New Roman" w:hAnsi="Times New Roman" w:cs="Times New Roman"/>
          <w:sz w:val="18"/>
          <w:szCs w:val="18"/>
        </w:rPr>
        <w:t xml:space="preserve"> Puisque tu as oublié la loi de ton Dieu, J'oublierai aussi tes enfants » (OSEE 4.6). </w:t>
      </w:r>
    </w:p>
    <w:p w14:paraId="76402F5E"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NOTRE METHODE DE TRANSFORMATION : « </w:t>
      </w:r>
      <w:proofErr w:type="gramStart"/>
      <w:r w:rsidRPr="00255BC4">
        <w:rPr>
          <w:rFonts w:ascii="Times New Roman" w:hAnsi="Times New Roman" w:cs="Times New Roman"/>
          <w:sz w:val="18"/>
          <w:szCs w:val="18"/>
        </w:rPr>
        <w:t>Homme!!!</w:t>
      </w:r>
      <w:proofErr w:type="gramEnd"/>
      <w:r w:rsidRPr="00255BC4">
        <w:rPr>
          <w:rFonts w:ascii="Times New Roman" w:hAnsi="Times New Roman" w:cs="Times New Roman"/>
          <w:sz w:val="18"/>
          <w:szCs w:val="18"/>
        </w:rPr>
        <w:t xml:space="preserve"> connais-toi d'abord spirituellement toi-</w:t>
      </w:r>
      <w:proofErr w:type="gramStart"/>
      <w:r w:rsidRPr="00255BC4">
        <w:rPr>
          <w:rFonts w:ascii="Times New Roman" w:hAnsi="Times New Roman" w:cs="Times New Roman"/>
          <w:sz w:val="18"/>
          <w:szCs w:val="18"/>
        </w:rPr>
        <w:t>même;</w:t>
      </w:r>
      <w:proofErr w:type="gramEnd"/>
      <w:r w:rsidRPr="00255BC4">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44A971D1"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00E06905" w14:textId="17662516"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(Jean Paul Sylvain SIDA ABENA)</w:t>
      </w:r>
    </w:p>
    <w:p w14:paraId="5961E520" w14:textId="1B9FD199" w:rsidR="008F064E"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br w:type="page"/>
      </w:r>
    </w:p>
    <w:p w14:paraId="5D388D4F" w14:textId="5D6A7D0A"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lastRenderedPageBreak/>
        <w:t>SOMMAIRE</w:t>
      </w:r>
    </w:p>
    <w:p w14:paraId="12953663"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 xml:space="preserve">Préface……………………………………………………………………………P.13 </w:t>
      </w:r>
    </w:p>
    <w:p w14:paraId="14576D47"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Avant-propos………………………………………………………………</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.P.17 </w:t>
      </w:r>
    </w:p>
    <w:p w14:paraId="423191E0"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Introduction générale……………………………………………………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…P.23 </w:t>
      </w:r>
    </w:p>
    <w:p w14:paraId="0DDB89F5" w14:textId="77777777" w:rsidR="003E28E9"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 xml:space="preserve">PREMIERE PARTIE LE MONDE </w:t>
      </w:r>
      <w:proofErr w:type="gramStart"/>
      <w:r w:rsidRPr="00255BC4">
        <w:rPr>
          <w:rFonts w:ascii="Times New Roman" w:hAnsi="Times New Roman" w:cs="Times New Roman"/>
          <w:sz w:val="16"/>
          <w:szCs w:val="16"/>
        </w:rPr>
        <w:t>INVISIBLE:</w:t>
      </w:r>
      <w:proofErr w:type="gramEnd"/>
      <w:r w:rsidRPr="00255BC4">
        <w:rPr>
          <w:rFonts w:ascii="Times New Roman" w:hAnsi="Times New Roman" w:cs="Times New Roman"/>
          <w:sz w:val="16"/>
          <w:szCs w:val="16"/>
        </w:rPr>
        <w:t xml:space="preserve"> UNE RÉALITÉ SPIRITUELLE BIEN IDENTIFIÉE……...P.28 </w:t>
      </w:r>
    </w:p>
    <w:p w14:paraId="1F783FE5" w14:textId="3EC7B0EF"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Chapitre-I : Confirmer l’existence du purgatoire aux hommes sur terre……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.P.29 </w:t>
      </w:r>
    </w:p>
    <w:p w14:paraId="75DE8FD7"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 xml:space="preserve">Chapitre-II : Le </w:t>
      </w:r>
      <w:proofErr w:type="spellStart"/>
      <w:r w:rsidRPr="00255BC4">
        <w:rPr>
          <w:rFonts w:ascii="Times New Roman" w:hAnsi="Times New Roman" w:cs="Times New Roman"/>
          <w:sz w:val="16"/>
          <w:szCs w:val="16"/>
        </w:rPr>
        <w:t>systeme</w:t>
      </w:r>
      <w:proofErr w:type="spellEnd"/>
      <w:r w:rsidRPr="00255BC4">
        <w:rPr>
          <w:rFonts w:ascii="Times New Roman" w:hAnsi="Times New Roman" w:cs="Times New Roman"/>
          <w:sz w:val="16"/>
          <w:szCs w:val="16"/>
        </w:rPr>
        <w:t xml:space="preserve"> </w:t>
      </w:r>
      <w:proofErr w:type="spellStart"/>
      <w:r w:rsidRPr="00255BC4">
        <w:rPr>
          <w:rFonts w:ascii="Times New Roman" w:hAnsi="Times New Roman" w:cs="Times New Roman"/>
          <w:sz w:val="16"/>
          <w:szCs w:val="16"/>
        </w:rPr>
        <w:t>planetaire</w:t>
      </w:r>
      <w:proofErr w:type="spellEnd"/>
      <w:r w:rsidRPr="00255BC4">
        <w:rPr>
          <w:rFonts w:ascii="Times New Roman" w:hAnsi="Times New Roman" w:cs="Times New Roman"/>
          <w:sz w:val="16"/>
          <w:szCs w:val="16"/>
        </w:rPr>
        <w:t xml:space="preserve"> du monde invisible……………………………...P.41 </w:t>
      </w:r>
    </w:p>
    <w:p w14:paraId="3C836EE5"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 xml:space="preserve">Chapitre - III : Localisation du monde des ténèbres : une réalité de la vie quotidienne des hommes…………………………………………………………………P.58 </w:t>
      </w:r>
    </w:p>
    <w:p w14:paraId="15F7A43E"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Chapitre – IV : Localisation des planètes spirituelles placées sous l’autorité de Dieu le Père Créateur……………………………………………………………</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P.66 </w:t>
      </w:r>
    </w:p>
    <w:p w14:paraId="23FA2A6B"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 xml:space="preserve">DEUXIEME PARTIE LE VOYAGE DE L'ÂME APRES LA MORT……………………………………………P.81 </w:t>
      </w:r>
    </w:p>
    <w:p w14:paraId="00385E7D"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Chapitre – V : Le séjour des âmes des défunts au purgatoire…………………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P.82 </w:t>
      </w:r>
    </w:p>
    <w:p w14:paraId="0C2553AD"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Chapitre – VI : L’Administration de l’état du Purgatoire…………………………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P.94 </w:t>
      </w:r>
    </w:p>
    <w:p w14:paraId="386A5560"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Chapitre – VII : Les relations entre les hommes sur Terre et les âmes du Purgatoire…………………………………………………………………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.P.102 </w:t>
      </w:r>
    </w:p>
    <w:p w14:paraId="3471A361"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 xml:space="preserve">Chapitre – </w:t>
      </w:r>
      <w:proofErr w:type="gramStart"/>
      <w:r w:rsidRPr="00255BC4">
        <w:rPr>
          <w:rFonts w:ascii="Times New Roman" w:hAnsi="Times New Roman" w:cs="Times New Roman"/>
          <w:sz w:val="16"/>
          <w:szCs w:val="16"/>
        </w:rPr>
        <w:t>VIII:</w:t>
      </w:r>
      <w:proofErr w:type="gramEnd"/>
      <w:r w:rsidRPr="00255BC4">
        <w:rPr>
          <w:rFonts w:ascii="Times New Roman" w:hAnsi="Times New Roman" w:cs="Times New Roman"/>
          <w:sz w:val="16"/>
          <w:szCs w:val="16"/>
        </w:rPr>
        <w:t xml:space="preserve"> La planète du Paradis…………………………………………...……P.110 </w:t>
      </w:r>
    </w:p>
    <w:p w14:paraId="33396EF7" w14:textId="77777777"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t>Conclusion générale…………………………………………………………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.…P.117 Glossaire……………………………………………………………………………</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 xml:space="preserve">P.121 </w:t>
      </w:r>
    </w:p>
    <w:p w14:paraId="4E58C09F" w14:textId="0695931D"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lastRenderedPageBreak/>
        <w:t>Plan de localisation du Centre de MTHS d’ABILI……………………………</w:t>
      </w:r>
      <w:proofErr w:type="gramStart"/>
      <w:r w:rsidRPr="00255BC4">
        <w:rPr>
          <w:rFonts w:ascii="Times New Roman" w:hAnsi="Times New Roman" w:cs="Times New Roman"/>
          <w:sz w:val="16"/>
          <w:szCs w:val="16"/>
        </w:rPr>
        <w:t>…….</w:t>
      </w:r>
      <w:proofErr w:type="gramEnd"/>
      <w:r w:rsidRPr="00255BC4">
        <w:rPr>
          <w:rFonts w:ascii="Times New Roman" w:hAnsi="Times New Roman" w:cs="Times New Roman"/>
          <w:sz w:val="16"/>
          <w:szCs w:val="16"/>
        </w:rPr>
        <w:t>P.146</w:t>
      </w:r>
    </w:p>
    <w:p w14:paraId="133BBB23" w14:textId="7586E7B5" w:rsidR="008F064E" w:rsidRPr="00255BC4" w:rsidRDefault="008F064E" w:rsidP="00255BC4">
      <w:pPr>
        <w:spacing w:line="360" w:lineRule="auto"/>
        <w:jc w:val="both"/>
        <w:rPr>
          <w:rFonts w:ascii="Times New Roman" w:hAnsi="Times New Roman" w:cs="Times New Roman"/>
          <w:sz w:val="16"/>
          <w:szCs w:val="16"/>
        </w:rPr>
      </w:pPr>
      <w:r w:rsidRPr="00255BC4">
        <w:rPr>
          <w:rFonts w:ascii="Times New Roman" w:hAnsi="Times New Roman" w:cs="Times New Roman"/>
          <w:sz w:val="16"/>
          <w:szCs w:val="16"/>
        </w:rPr>
        <w:br w:type="page"/>
      </w:r>
    </w:p>
    <w:p w14:paraId="5373FB38" w14:textId="218F94CF" w:rsidR="008F064E"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lastRenderedPageBreak/>
        <w:t>PREFACE</w:t>
      </w:r>
    </w:p>
    <w:p w14:paraId="0A8DE56D"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Depuis les origines de l’humanité, la question de la vie après la mort habite les consciences, traverse les traditions, inspire les rites, fonde les religions et nourrit les espérances les plus profondes comme les peurs les plus enfouies. Pourtant, malgré la richesse des croyances, des doctrines et des spéculations philosophiques, l’</w:t>
      </w:r>
      <w:proofErr w:type="spellStart"/>
      <w:r w:rsidRPr="00255BC4">
        <w:rPr>
          <w:rFonts w:ascii="Times New Roman" w:hAnsi="Times New Roman" w:cs="Times New Roman"/>
          <w:sz w:val="18"/>
          <w:szCs w:val="18"/>
        </w:rPr>
        <w:t>audelà</w:t>
      </w:r>
      <w:proofErr w:type="spellEnd"/>
      <w:r w:rsidRPr="00255BC4">
        <w:rPr>
          <w:rFonts w:ascii="Times New Roman" w:hAnsi="Times New Roman" w:cs="Times New Roman"/>
          <w:sz w:val="18"/>
          <w:szCs w:val="18"/>
        </w:rPr>
        <w:t xml:space="preserve"> est longtemps demeuré, pour l’esprit commun, un territoire d’incertitude, parfois réduit à une abstraction symbolique, parfois relégué au rang de mythe ou de non-sens. L’ouvrage LA VIE APRÈS LA MORT – Approche clinique de la Médecine Traditionnelle des Handicapés Spirituels (MTHS) s’inscrit en rupture assumée avec cette hésitation séculaire. </w:t>
      </w:r>
    </w:p>
    <w:p w14:paraId="03A2E2E4"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Il ne se présente ni comme un traité philosophique spéculatif, ni comme une simple catéchèse, ni comme un récit mystique détaché du réel. Il se veut un témoignage structuré, un corpus de révélations organisées et une cartographie clinique du monde invisible, élaborés à partir d’une expérience singulière, radicale et fondatrice. Pour la première fois, selon la perspective développée dans ces pages, la vie après la mort n’est plus seulement évoquée : elle est décrite, localisée, administrée, structurée et mise en relation directe avec la vie des hommes sur Terre. Le monde invisible cesse d’être un espace flou pour devenir un système spirituel intelligible, doté de planètes, de hiérarchies, de juridictions,</w:t>
      </w:r>
      <w:r w:rsidRPr="00255BC4">
        <w:rPr>
          <w:rFonts w:ascii="Times New Roman" w:hAnsi="Times New Roman" w:cs="Times New Roman"/>
          <w:sz w:val="18"/>
          <w:szCs w:val="18"/>
        </w:rPr>
        <w:t xml:space="preserve"> </w:t>
      </w:r>
      <w:r w:rsidRPr="00255BC4">
        <w:rPr>
          <w:rFonts w:ascii="Times New Roman" w:hAnsi="Times New Roman" w:cs="Times New Roman"/>
          <w:sz w:val="18"/>
          <w:szCs w:val="18"/>
        </w:rPr>
        <w:t xml:space="preserve">de fonctions et de lois, en correspondance permanente avec le monde visible. Cet ouvrage s’appuie sur les révélations et la mission spirituelle de Jean Paul Sylvain SIDA ABENA, figure centrale de cette œuvre, présenté comme ayant vécu simultanément parmi les vivants et parmi les morts, longuement initié dans l’au-delà, particulièrement au Purgatoire, et investi d’une mission divine de dévoilement, de guérison et de combat spirituel. </w:t>
      </w:r>
    </w:p>
    <w:p w14:paraId="41D2CEE0"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Quinze années après sa mort charnelle, il continue, selon cette tradition, de se manifester spirituellement à ses disciples, inscrivant son action hors des limites ordinaires du temps humain. C’est dans ce cadre que s’est développée la Médecine Spirituelle Moderne Africaine, révélée comme une </w:t>
      </w:r>
      <w:r w:rsidRPr="00255BC4">
        <w:rPr>
          <w:rFonts w:ascii="Times New Roman" w:hAnsi="Times New Roman" w:cs="Times New Roman"/>
          <w:sz w:val="18"/>
          <w:szCs w:val="18"/>
        </w:rPr>
        <w:lastRenderedPageBreak/>
        <w:t xml:space="preserve">médecine curative de la délivrance, complémentaire à la dimension préventive de la Sainte Écriture. Cette médecine, loin d’être une simple pratique religieuse, est ici abordée comme une approche clinique des réalités spirituelles, attentive aux désordres invisibles qui affectent l’âme, le destin et la condition humaine : ce que l’ASMAB désigne sous le terme de Handicaps Spirituels. La première partie de l’ouvrage pose les fondements doctrinaux et cosmologiques de cette approche. Elle établit l’existence du monde invisible comme une réalité spirituelle objectivable, organisée en systèmes planétaires distincts, sous autorité divine ou sous domination des ténèbres. </w:t>
      </w:r>
    </w:p>
    <w:p w14:paraId="3A95B73E"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Le lecteur </w:t>
      </w:r>
      <w:proofErr w:type="gramStart"/>
      <w:r w:rsidRPr="00255BC4">
        <w:rPr>
          <w:rFonts w:ascii="Times New Roman" w:hAnsi="Times New Roman" w:cs="Times New Roman"/>
          <w:sz w:val="18"/>
          <w:szCs w:val="18"/>
        </w:rPr>
        <w:t>est  conduit</w:t>
      </w:r>
      <w:proofErr w:type="gramEnd"/>
      <w:r w:rsidRPr="00255BC4">
        <w:rPr>
          <w:rFonts w:ascii="Times New Roman" w:hAnsi="Times New Roman" w:cs="Times New Roman"/>
          <w:sz w:val="18"/>
          <w:szCs w:val="18"/>
        </w:rPr>
        <w:t xml:space="preserve"> à comprendre la genèse du monde des ténèbres, la rébellion de Lucifer, les conséquences de cette rupture sur l’histoire humaine et la localisation précise des espaces spirituels d’influence, y compris ceux qui interfèrent quotidiennement avec la vie des hommes. La seconde partie explore avec rigueur et précision le voyage de l’âme après la mort. Le Purgatoire y est présenté non comme un concept abstrait, mais comme un État spirituel structuré, doté d’une administration, d’une justice, de durées d’expiation, de fonctions pédagogiques et de relations constantes avec le monde terrestre. Les liens entre les vivants et les âmes des défunts – apparitions, songes, rites funéraires, messes de requiem – y sont analysés comme des interactions réelles et déterminantes dans l’économie spirituelle globale. Enfin, l’ouvrage s’achève sur la description de la planète du Paradis, des hiérarchies angéliques et de l’ordre divin, offrant au lecteur une vision d’ensemble cohérente, progressive et structurée de l’au-delà, telle qu’elle est comprise et transmise dans le cadre de la MTHS. </w:t>
      </w:r>
    </w:p>
    <w:p w14:paraId="4A9E960C"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En publiant ce livre, Association Mariale d’</w:t>
      </w:r>
      <w:proofErr w:type="spellStart"/>
      <w:r w:rsidRPr="00255BC4">
        <w:rPr>
          <w:rFonts w:ascii="Times New Roman" w:hAnsi="Times New Roman" w:cs="Times New Roman"/>
          <w:sz w:val="18"/>
          <w:szCs w:val="18"/>
        </w:rPr>
        <w:t>Abili</w:t>
      </w:r>
      <w:proofErr w:type="spellEnd"/>
      <w:r w:rsidRPr="00255BC4">
        <w:rPr>
          <w:rFonts w:ascii="Times New Roman" w:hAnsi="Times New Roman" w:cs="Times New Roman"/>
          <w:sz w:val="18"/>
          <w:szCs w:val="18"/>
        </w:rPr>
        <w:t xml:space="preserve"> (ASMAB) assume pleinement sa mission : – éclairer les consciences, – restaurer la dignité spirituelle des personnes affectées par des troubles </w:t>
      </w:r>
      <w:proofErr w:type="gramStart"/>
      <w:r w:rsidRPr="00255BC4">
        <w:rPr>
          <w:rFonts w:ascii="Times New Roman" w:hAnsi="Times New Roman" w:cs="Times New Roman"/>
          <w:sz w:val="18"/>
          <w:szCs w:val="18"/>
        </w:rPr>
        <w:t>invisibles,  –</w:t>
      </w:r>
      <w:proofErr w:type="gramEnd"/>
      <w:r w:rsidRPr="00255BC4">
        <w:rPr>
          <w:rFonts w:ascii="Times New Roman" w:hAnsi="Times New Roman" w:cs="Times New Roman"/>
          <w:sz w:val="18"/>
          <w:szCs w:val="18"/>
        </w:rPr>
        <w:t xml:space="preserve"> transmettre un savoir spirituel africain structuré, enraciné dans la foi chrétienne, – et proposer une lecture clinique, responsable et encadrée des réalités spirituelles. Cet ouvrage ne s’adresse pas uniquement aux croyants. Il interpelle les chercheurs, les thérapeutes spirituels, les pasteurs, les tradipraticiens, les accompagnateurs, mais aussi toute personne en quête de sens face à la mort, </w:t>
      </w:r>
      <w:r w:rsidRPr="00255BC4">
        <w:rPr>
          <w:rFonts w:ascii="Times New Roman" w:hAnsi="Times New Roman" w:cs="Times New Roman"/>
          <w:sz w:val="18"/>
          <w:szCs w:val="18"/>
        </w:rPr>
        <w:lastRenderedPageBreak/>
        <w:t xml:space="preserve">à la souffrance invisible et au destin de l’âme. Lire LA VIE APRÈS LA MORT, c’est accepter d’entrer dans une connaissance qui dérange, qui éclaire et qui engage. </w:t>
      </w:r>
    </w:p>
    <w:p w14:paraId="3F9F5044" w14:textId="1CA3952D"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C’est franchir un seuil. Non pour satisfaire une curiosité, mais pour comprendre que la vie terrestre n’est qu’une étape, et que le monde invisible, loin d’être une illusion, constitue l’arrière-plan déterminant de l’histoire humaine. Que cette œuvre contribue à la guérison des âmes, à la libération des consciences et à la gloire de Dieu. L’Association Mariale d’</w:t>
      </w:r>
      <w:proofErr w:type="spellStart"/>
      <w:r w:rsidRPr="00255BC4">
        <w:rPr>
          <w:rFonts w:ascii="Times New Roman" w:hAnsi="Times New Roman" w:cs="Times New Roman"/>
          <w:sz w:val="18"/>
          <w:szCs w:val="18"/>
        </w:rPr>
        <w:t>Abili</w:t>
      </w:r>
      <w:proofErr w:type="spellEnd"/>
    </w:p>
    <w:p w14:paraId="2EFC64D7" w14:textId="23B56A71" w:rsidR="008F064E" w:rsidRPr="00255BC4" w:rsidRDefault="008F064E" w:rsidP="00255BC4">
      <w:pPr>
        <w:spacing w:line="360" w:lineRule="auto"/>
        <w:jc w:val="both"/>
        <w:rPr>
          <w:rFonts w:ascii="Times New Roman" w:hAnsi="Times New Roman" w:cs="Times New Roman"/>
          <w:sz w:val="18"/>
          <w:szCs w:val="18"/>
        </w:rPr>
      </w:pPr>
      <w:r w:rsidRPr="00255BC4">
        <w:rPr>
          <w:rFonts w:ascii="Times New Roman" w:hAnsi="Times New Roman" w:cs="Times New Roman"/>
          <w:sz w:val="18"/>
          <w:szCs w:val="18"/>
        </w:rPr>
        <w:br w:type="page"/>
      </w:r>
    </w:p>
    <w:p w14:paraId="01C13ED5" w14:textId="3683E631"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lastRenderedPageBreak/>
        <w:t>AVANT-PROPOS</w:t>
      </w:r>
    </w:p>
    <w:p w14:paraId="30353332"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Le Prophète de la miséricorde divine Dans la mémoire longue et silencieuse des peuples d’Afrique, certains êtres ne sont pas comptés parmi les puissants, mais parmi les nécessaires. On les reconnaît non à l’éclat de leur nom, mais à la lumière qu’ils allument là où l’obscurité semblait irréversible. Ils apparaissent aux heures où le monde vacille, lorsque les liens entre l’homme, ses ancêtres et son Créateur se distendent, lorsque la peur supplante la sagesse et que les communautés perdent le sens de leur marche. </w:t>
      </w:r>
    </w:p>
    <w:p w14:paraId="4914A2A4"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Ces êtres ne choisissent pas leur temps : c’est le temps qui les appelle. Ils surgissent lorsque les forces de division progressent, lorsque la souffrance invisible devient plus meurtrière que les blessures du corps, et lorsque les sociétés, privées de repères spirituels, cherchent désespérément une parole qui ne trompe pas. Parmi ces figures rares se tient Jean Paul Sylvain SIDA ABENA. Non comme un héros façonné par les honneurs, mais comme un prophète de la miséricorde, lentement forgé par l’épreuve, instruit par la prière, initié par les Âmes du Purgatoire, conduit par la Sainte Vierge Marie, et offert sans réserve aux familles, aux villages, aux âmes blessées et aux cœurs perdus. Son existence entière se déploie comme un pont vivant entre la Médecine Traditionnelle des Handicapés Spirituels, la théologie</w:t>
      </w:r>
      <w:r w:rsidRPr="00255BC4">
        <w:rPr>
          <w:rFonts w:ascii="Times New Roman" w:hAnsi="Times New Roman" w:cs="Times New Roman"/>
          <w:sz w:val="18"/>
          <w:szCs w:val="18"/>
        </w:rPr>
        <w:t xml:space="preserve"> </w:t>
      </w:r>
      <w:r w:rsidRPr="00255BC4">
        <w:rPr>
          <w:rFonts w:ascii="Times New Roman" w:hAnsi="Times New Roman" w:cs="Times New Roman"/>
          <w:sz w:val="18"/>
          <w:szCs w:val="18"/>
        </w:rPr>
        <w:t xml:space="preserve">chrétienne de la miséricorde, la cosmologie africaine et l’urgence contemporaine de soigner les maladies invisibles qui dévastent l’humanité. Son histoire commence là où bien des récits prophétiques prennent racine : dans l’abandon. Jean Paul Sylvain SIDA ABENA n’était encore qu’un enfant lorsque la vie le dépouilla de ses premiers appuis. Orphelin très tôt, livré à lui-même, il grandit dans la vulnérabilité silencieuse de ceux que le monde n’attend plus. Mais c’est précisément dans cette fragilité que le ciel choisit de se pencher. Le 12 mai 1979, dans la discrétion d’un village sans renom, un événement invisible aux regards ordinaires bouleversa à jamais le cours de son existence. </w:t>
      </w:r>
    </w:p>
    <w:p w14:paraId="2AB867A2"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La Sainte Vierge Marie lui apparut. Ce ne fut ni une vision spectaculaire, ni une démonstration de puissance. Ce fut une adoption. Une parole descendit sur l’âme de l’enfant comme un sceau éternel : il n’était plus </w:t>
      </w:r>
      <w:r w:rsidRPr="00255BC4">
        <w:rPr>
          <w:rFonts w:ascii="Times New Roman" w:hAnsi="Times New Roman" w:cs="Times New Roman"/>
          <w:sz w:val="18"/>
          <w:szCs w:val="18"/>
        </w:rPr>
        <w:lastRenderedPageBreak/>
        <w:t>seul. Il devenait fils, messager, prophète de la miséricorde divine. À travers lui devait être révélée une médecine encore inconnue des hommes : la Médecine Traditionnelle des Handicapés Spirituels, destinée non aux justes installés, mais aux sorciers, aux possédés, aux victimes du Diable, aux satanistes, aux adeptes des sectes destructrices, aux pécheurs et à toutes les âmes errantes qui accepteraient de se repentir et de renaître à la lumière.</w:t>
      </w:r>
    </w:p>
    <w:p w14:paraId="7D584F19"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Ce jour-là, l’enfant cessa d’être seulement un survivant. Il devint un passage. Une voix appelée à ouvrir les yeux, à ramener de l’obscurité à la lumière, du pouvoir de Satan à Dieu, non par la condamnation, mais par la miséricorde. Peu après, la maladie vint éprouver ce choix. Une maladie grave, écrasante, qui l’isola dans la douleur et le désespoir. Dans la faiblesse de son corps, l’enfant supplia la Vierge de mettre fin à ses jours. Mais le ciel ne répond pas toujours selon la demande humaine. À l’instant même où il pensait mourir, une autre visitation survint : celle des Âmes du Purgatoire. Dans une fulgurance qui dépassait les mots, une délégation du monde invisible descendit vers lui. Des Anciens, des Patriarches, des Prophètes, des serviteurs de Dieu œuvrant auprès des âmes en purification. Ils le guérirent, mais surtout, ils l’instruisirent. </w:t>
      </w:r>
    </w:p>
    <w:p w14:paraId="77F14621"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 xml:space="preserve">Ils lui révélèrent peu à peu les lois du combat spirituel, la nature des maladies mystiques, l’existence du germe invisible appelé EVU, les mécanismes de l’envoûtement et les remèdes capables de libérer les captifs du Diable. Ce fut le commencement d’un compagnonnage secret qui traversa toute sa vie. Les Âmes du Purgatoire devinrent ses maîtres, ses conseillers et ses protecteurs. À partir de cet instant, Jean Paul Sylvain SIDA ABENA ne marcha plus jamais seul entre les mondes. 20 En grandissant, il devint un être de jonction. Serviteur du Christ sans compromis, il demeura en même temps gardien des traditions africaines, refusant les ruptures violentes, cherchant l’unité là où d’autres imposaient la fracture. Sa vie devint un récit initiatique où chaque épreuve ouvrait une porte, où chaque guérison élargissait sa mission, où chaque révélation l’enracinait davantage dans la miséricorde. La prière fut son souffle. Non une pratique périphérique, mais une nourriture originelle. Il priait comme on respire. De jour comme de nuit. Seul ou entouré. </w:t>
      </w:r>
    </w:p>
    <w:p w14:paraId="0E49BEE1" w14:textId="7777777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lastRenderedPageBreak/>
        <w:t xml:space="preserve">Pour les vivants et pour les morts. Dans la prière, il discernait les maladies invisibles, recevait les révélations, apprenait à voir au-delà des apparences. Il unifiait ainsi deux sagesses : la spiritualité africaine, où prier, c’est respirer avec le monde, et le christianisme, où prier, c’est respirer avec Dieu. Au cœur de sa vision se trouvait la miséricorde. Non comme une vertu morale, mais comme une force cosmique et maternelle. Dans la Bible comme dans la pensée africaine, la miséricorde renvoie au ventre, à la matrice, au lieu d’où la vie surgit. Pour lui, guérir signifiait réintroduire l’homme blessé dans ce ventre spirituel, restaurer l’équilibre rompu, ramener l’errant dans la maison du Père. Sa mission se déploya alors sur deux plans indissociables. </w:t>
      </w:r>
    </w:p>
    <w:p w14:paraId="44985249" w14:textId="77777777" w:rsidR="00255BC4"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t>Dans l’invisible, il délivrait, purifiait, brisait les chaînes, libérait sorciers et possédés. Il refusait de voir dans le sorcier un criminel : il</w:t>
      </w:r>
      <w:r w:rsidRPr="00255BC4">
        <w:rPr>
          <w:rFonts w:ascii="Times New Roman" w:hAnsi="Times New Roman" w:cs="Times New Roman"/>
          <w:sz w:val="18"/>
          <w:szCs w:val="18"/>
        </w:rPr>
        <w:t xml:space="preserve"> </w:t>
      </w:r>
      <w:r w:rsidRPr="00255BC4">
        <w:rPr>
          <w:rFonts w:ascii="Times New Roman" w:hAnsi="Times New Roman" w:cs="Times New Roman"/>
          <w:sz w:val="18"/>
          <w:szCs w:val="18"/>
        </w:rPr>
        <w:t xml:space="preserve">y discernait un handicapé spirituel, victime d’une pathologie invisible, tout comme le malade est victime d’un virus. Dans le visible, il aimait. Il éduquait les jeunes, protégeait les orphelins, soutenait les familles, restaurait les liens sociaux. Pour lui, sauver une âme impliquait toujours de relever un corps et une dignité. Il mena un combat long et souvent incompris pour faire reconnaître la Médecine Traditionnelle des Handicapés Spirituels comme une véritable discipline thérapeutique. Son intuition était claire : on ne détruit pas une maladie en détruisant les malades. Il fallait identifier le germe, comprendre les modes de contamination, former des thérapeutes, sensibiliser les communautés, pacifier les relations, restaurer le lien social. À chaque délivrance, il indiquait un chemin exigeant : l’observance des Dix Commandements et la pratique quotidienne des œuvres de miséricorde. Sans discipline, la rechute était possible. Car le monde, à ses yeux, demeure un champ de bataille entre deux royaumes : celui qui libère et celui qui enchaîne. Au terme de ce chemin, tout convergeait vers un même cœur : la miséricorde divine. Elle était le moteur de la guérison, la matrice du renouveau, le feu intérieur de la Médecine Traditionnelle des Handicapés Spirituels. Nourrir l’affamé, accueillir l’étranger, visiter le malade, instruire l’ignorant, pardonner, prier pour les vivants et les morts : autant d’actes thérapeutiques capables de restaurer l’harmonie entre les vivants, les ancêtres et le Créateur. </w:t>
      </w:r>
    </w:p>
    <w:p w14:paraId="350E3711" w14:textId="1EE7FB17" w:rsidR="008F064E" w:rsidRPr="00255BC4" w:rsidRDefault="008F064E" w:rsidP="00255BC4">
      <w:pPr>
        <w:spacing w:line="360" w:lineRule="auto"/>
        <w:ind w:firstLine="708"/>
        <w:jc w:val="both"/>
        <w:rPr>
          <w:rFonts w:ascii="Times New Roman" w:hAnsi="Times New Roman" w:cs="Times New Roman"/>
          <w:sz w:val="18"/>
          <w:szCs w:val="18"/>
        </w:rPr>
      </w:pPr>
      <w:r w:rsidRPr="00255BC4">
        <w:rPr>
          <w:rFonts w:ascii="Times New Roman" w:hAnsi="Times New Roman" w:cs="Times New Roman"/>
          <w:sz w:val="18"/>
          <w:szCs w:val="18"/>
        </w:rPr>
        <w:lastRenderedPageBreak/>
        <w:t>En Jean Paul Sylvain SIDA ABENA, se rejoignirent la théologie chrétienne, la cosmologie africaine, la médecine des âmes blessées et le combat pour la dignité humaine. Il fut prophète parce qu’il a vu, thérapeute parce qu’il a guéri, guide parce qu’il a montré le chemin, témoin parce qu’il a incarné ce qu’il enseignait. Son héritage nous livre une vérité essentielle pour notre temps : sans miséricorde, les sociétés s’effondrent ; avec la miséricorde, les ténèbres reculent. Dieu ne laisse jamais ses enfants sans remède. Là où l’humanité oublie le sens de la vie, du jugement, de la mort et de l’au-delà, Il suscite toujours un prophète pour rappeler que la miséricorde demeure la volonté ultime de Dieu pour le salut de l’homme — et l’espérance ouverte par la vie après la mort, cœur même de la présente publication.</w:t>
      </w:r>
    </w:p>
    <w:p w14:paraId="0A8FEB37" w14:textId="77777777" w:rsidR="00255BC4" w:rsidRPr="00255BC4" w:rsidRDefault="00255BC4">
      <w:pPr>
        <w:spacing w:line="360" w:lineRule="auto"/>
        <w:ind w:firstLine="708"/>
        <w:jc w:val="both"/>
        <w:rPr>
          <w:rFonts w:ascii="Times New Roman" w:hAnsi="Times New Roman" w:cs="Times New Roman"/>
          <w:sz w:val="18"/>
          <w:szCs w:val="18"/>
        </w:rPr>
      </w:pPr>
    </w:p>
    <w:sectPr w:rsidR="00255BC4" w:rsidRPr="00255BC4" w:rsidSect="00255BC4">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4E"/>
    <w:rsid w:val="001552F7"/>
    <w:rsid w:val="00186A94"/>
    <w:rsid w:val="001C499D"/>
    <w:rsid w:val="00255BC4"/>
    <w:rsid w:val="003E28E9"/>
    <w:rsid w:val="008F064E"/>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CB68"/>
  <w15:chartTrackingRefBased/>
  <w15:docId w15:val="{43549293-EF45-4635-A517-C878988C6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0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F0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F064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F064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F064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F06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06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06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06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064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F064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F064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F064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F064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F06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06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06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064E"/>
    <w:rPr>
      <w:rFonts w:eastAsiaTheme="majorEastAsia" w:cstheme="majorBidi"/>
      <w:color w:val="272727" w:themeColor="text1" w:themeTint="D8"/>
    </w:rPr>
  </w:style>
  <w:style w:type="paragraph" w:styleId="Titre">
    <w:name w:val="Title"/>
    <w:basedOn w:val="Normal"/>
    <w:next w:val="Normal"/>
    <w:link w:val="TitreCar"/>
    <w:uiPriority w:val="10"/>
    <w:qFormat/>
    <w:rsid w:val="008F0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06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06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06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064E"/>
    <w:pPr>
      <w:spacing w:before="160"/>
      <w:jc w:val="center"/>
    </w:pPr>
    <w:rPr>
      <w:i/>
      <w:iCs/>
      <w:color w:val="404040" w:themeColor="text1" w:themeTint="BF"/>
    </w:rPr>
  </w:style>
  <w:style w:type="character" w:customStyle="1" w:styleId="CitationCar">
    <w:name w:val="Citation Car"/>
    <w:basedOn w:val="Policepardfaut"/>
    <w:link w:val="Citation"/>
    <w:uiPriority w:val="29"/>
    <w:rsid w:val="008F064E"/>
    <w:rPr>
      <w:i/>
      <w:iCs/>
      <w:color w:val="404040" w:themeColor="text1" w:themeTint="BF"/>
    </w:rPr>
  </w:style>
  <w:style w:type="paragraph" w:styleId="Paragraphedeliste">
    <w:name w:val="List Paragraph"/>
    <w:basedOn w:val="Normal"/>
    <w:uiPriority w:val="34"/>
    <w:qFormat/>
    <w:rsid w:val="008F064E"/>
    <w:pPr>
      <w:ind w:left="720"/>
      <w:contextualSpacing/>
    </w:pPr>
  </w:style>
  <w:style w:type="character" w:styleId="Accentuationintense">
    <w:name w:val="Intense Emphasis"/>
    <w:basedOn w:val="Policepardfaut"/>
    <w:uiPriority w:val="21"/>
    <w:qFormat/>
    <w:rsid w:val="008F064E"/>
    <w:rPr>
      <w:i/>
      <w:iCs/>
      <w:color w:val="2F5496" w:themeColor="accent1" w:themeShade="BF"/>
    </w:rPr>
  </w:style>
  <w:style w:type="paragraph" w:styleId="Citationintense">
    <w:name w:val="Intense Quote"/>
    <w:basedOn w:val="Normal"/>
    <w:next w:val="Normal"/>
    <w:link w:val="CitationintenseCar"/>
    <w:uiPriority w:val="30"/>
    <w:qFormat/>
    <w:rsid w:val="008F0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F064E"/>
    <w:rPr>
      <w:i/>
      <w:iCs/>
      <w:color w:val="2F5496" w:themeColor="accent1" w:themeShade="BF"/>
    </w:rPr>
  </w:style>
  <w:style w:type="character" w:styleId="Rfrenceintense">
    <w:name w:val="Intense Reference"/>
    <w:basedOn w:val="Policepardfaut"/>
    <w:uiPriority w:val="32"/>
    <w:qFormat/>
    <w:rsid w:val="008F0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2595</Words>
  <Characters>14273</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2</cp:revision>
  <dcterms:created xsi:type="dcterms:W3CDTF">2026-07-20T11:29:00Z</dcterms:created>
  <dcterms:modified xsi:type="dcterms:W3CDTF">2026-07-20T11:43:00Z</dcterms:modified>
</cp:coreProperties>
</file>