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BACE" w14:textId="77777777" w:rsidR="001F21E0" w:rsidRPr="00C700EB" w:rsidRDefault="001F21E0" w:rsidP="00C700EB">
      <w:pPr>
        <w:spacing w:line="360" w:lineRule="auto"/>
        <w:jc w:val="both"/>
        <w:rPr>
          <w:rFonts w:ascii="Times New Roman" w:hAnsi="Times New Roman" w:cs="Times New Roman"/>
          <w:sz w:val="18"/>
          <w:szCs w:val="18"/>
        </w:rPr>
      </w:pPr>
    </w:p>
    <w:p w14:paraId="6F8A70B3" w14:textId="77777777" w:rsidR="001F21E0" w:rsidRPr="00C700EB" w:rsidRDefault="001F21E0" w:rsidP="00C700EB">
      <w:pPr>
        <w:spacing w:line="360" w:lineRule="auto"/>
        <w:jc w:val="both"/>
        <w:rPr>
          <w:rFonts w:ascii="Times New Roman" w:hAnsi="Times New Roman" w:cs="Times New Roman"/>
          <w:sz w:val="18"/>
          <w:szCs w:val="18"/>
        </w:rPr>
      </w:pPr>
    </w:p>
    <w:p w14:paraId="37E59B57" w14:textId="77777777" w:rsidR="001F21E0" w:rsidRPr="00C700EB" w:rsidRDefault="001F21E0" w:rsidP="00C700EB">
      <w:pPr>
        <w:spacing w:line="360" w:lineRule="auto"/>
        <w:jc w:val="both"/>
        <w:rPr>
          <w:rFonts w:ascii="Times New Roman" w:hAnsi="Times New Roman" w:cs="Times New Roman"/>
          <w:sz w:val="18"/>
          <w:szCs w:val="18"/>
        </w:rPr>
      </w:pPr>
    </w:p>
    <w:p w14:paraId="555D8310" w14:textId="77777777" w:rsidR="001F21E0" w:rsidRPr="00C700EB" w:rsidRDefault="001F21E0" w:rsidP="00C700EB">
      <w:pPr>
        <w:spacing w:line="360" w:lineRule="auto"/>
        <w:jc w:val="both"/>
        <w:rPr>
          <w:rFonts w:ascii="Times New Roman" w:hAnsi="Times New Roman" w:cs="Times New Roman"/>
          <w:sz w:val="18"/>
          <w:szCs w:val="18"/>
        </w:rPr>
      </w:pPr>
    </w:p>
    <w:p w14:paraId="7FB99B82" w14:textId="77777777" w:rsidR="001F21E0" w:rsidRPr="00C700EB" w:rsidRDefault="001F21E0" w:rsidP="00C700EB">
      <w:pPr>
        <w:spacing w:line="360" w:lineRule="auto"/>
        <w:jc w:val="both"/>
        <w:rPr>
          <w:rFonts w:ascii="Times New Roman" w:hAnsi="Times New Roman" w:cs="Times New Roman"/>
          <w:sz w:val="18"/>
          <w:szCs w:val="18"/>
        </w:rPr>
      </w:pPr>
      <w:r w:rsidRPr="00C700EB">
        <w:rPr>
          <w:rFonts w:ascii="Times New Roman" w:hAnsi="Times New Roman" w:cs="Times New Roman"/>
          <w:sz w:val="18"/>
          <w:szCs w:val="18"/>
        </w:rPr>
        <w:t xml:space="preserve">LE REMÈDE TRADITIONNEL AMÉLIORÉ POST-COVID-19 : </w:t>
      </w:r>
    </w:p>
    <w:p w14:paraId="3EFF1C91" w14:textId="77777777" w:rsidR="001F21E0" w:rsidRPr="00C700EB" w:rsidRDefault="001F21E0" w:rsidP="00C700EB">
      <w:pPr>
        <w:spacing w:line="360" w:lineRule="auto"/>
        <w:jc w:val="both"/>
        <w:rPr>
          <w:rFonts w:ascii="Times New Roman" w:hAnsi="Times New Roman" w:cs="Times New Roman"/>
          <w:sz w:val="18"/>
          <w:szCs w:val="18"/>
        </w:rPr>
      </w:pPr>
      <w:r w:rsidRPr="00C700EB">
        <w:rPr>
          <w:rFonts w:ascii="Times New Roman" w:hAnsi="Times New Roman" w:cs="Times New Roman"/>
          <w:sz w:val="18"/>
          <w:szCs w:val="18"/>
        </w:rPr>
        <w:t xml:space="preserve">Une médecine alternative, pilier de la souveraineté sanitaire des États africains </w:t>
      </w:r>
    </w:p>
    <w:p w14:paraId="3FB3E53F" w14:textId="0E8FD586" w:rsidR="00186A94" w:rsidRPr="00C700EB" w:rsidRDefault="001F21E0" w:rsidP="00C700EB">
      <w:pPr>
        <w:spacing w:line="360" w:lineRule="auto"/>
        <w:jc w:val="both"/>
        <w:rPr>
          <w:rFonts w:ascii="Times New Roman" w:hAnsi="Times New Roman" w:cs="Times New Roman"/>
          <w:sz w:val="18"/>
          <w:szCs w:val="18"/>
        </w:rPr>
      </w:pPr>
      <w:r w:rsidRPr="00C700EB">
        <w:rPr>
          <w:rFonts w:ascii="Times New Roman" w:hAnsi="Times New Roman" w:cs="Times New Roman"/>
          <w:sz w:val="18"/>
          <w:szCs w:val="18"/>
        </w:rPr>
        <w:t>Approche clinique de la Médecine Traditionnelle des Handicapés Spirituels (MTHS)</w:t>
      </w:r>
    </w:p>
    <w:p w14:paraId="4C30E7A6" w14:textId="0B33A752" w:rsidR="001F21E0" w:rsidRPr="00C700EB" w:rsidRDefault="001F21E0" w:rsidP="00C700EB">
      <w:pPr>
        <w:spacing w:line="360" w:lineRule="auto"/>
        <w:jc w:val="both"/>
        <w:rPr>
          <w:rFonts w:ascii="Times New Roman" w:hAnsi="Times New Roman" w:cs="Times New Roman"/>
          <w:sz w:val="18"/>
          <w:szCs w:val="18"/>
        </w:rPr>
      </w:pPr>
      <w:r w:rsidRPr="00C700EB">
        <w:rPr>
          <w:rFonts w:ascii="Times New Roman" w:hAnsi="Times New Roman" w:cs="Times New Roman"/>
          <w:sz w:val="18"/>
          <w:szCs w:val="18"/>
        </w:rPr>
        <w:br w:type="page"/>
      </w:r>
    </w:p>
    <w:p w14:paraId="57A6AA5D" w14:textId="16A815D2" w:rsidR="001F21E0" w:rsidRPr="00C700EB" w:rsidRDefault="001F21E0" w:rsidP="00C700EB">
      <w:pPr>
        <w:spacing w:line="360" w:lineRule="auto"/>
        <w:jc w:val="both"/>
        <w:rPr>
          <w:rFonts w:ascii="Times New Roman" w:hAnsi="Times New Roman" w:cs="Times New Roman"/>
          <w:sz w:val="18"/>
          <w:szCs w:val="18"/>
        </w:rPr>
      </w:pPr>
      <w:r w:rsidRPr="00C700EB">
        <w:rPr>
          <w:rFonts w:ascii="Times New Roman" w:hAnsi="Times New Roman" w:cs="Times New Roman"/>
          <w:sz w:val="18"/>
          <w:szCs w:val="18"/>
        </w:rPr>
        <w:lastRenderedPageBreak/>
        <w:t>SOMMAIRE</w:t>
      </w:r>
    </w:p>
    <w:p w14:paraId="2D947496"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Préface………………………………………………………………………...…P.10 </w:t>
      </w:r>
    </w:p>
    <w:p w14:paraId="20221A06"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Avant-propos………………………………………………………………</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P.16 </w:t>
      </w:r>
    </w:p>
    <w:p w14:paraId="46094C8F"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Introduction générale……………………………………………………………P.23 </w:t>
      </w:r>
    </w:p>
    <w:p w14:paraId="1C88C2EF"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PARTIE - I : FONDEMENTS ET CONCEPTS…………………………</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P.31 </w:t>
      </w:r>
    </w:p>
    <w:p w14:paraId="503A6FFC"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Chapitre-1 : La médecine traditionnelle africaine……………………………P.32 </w:t>
      </w:r>
    </w:p>
    <w:p w14:paraId="711FA8F7"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Chapitre- 2 : La </w:t>
      </w:r>
      <w:proofErr w:type="spellStart"/>
      <w:r w:rsidRPr="00C700EB">
        <w:rPr>
          <w:rFonts w:ascii="Times New Roman" w:hAnsi="Times New Roman" w:cs="Times New Roman"/>
          <w:sz w:val="16"/>
          <w:szCs w:val="16"/>
        </w:rPr>
        <w:t>medecine</w:t>
      </w:r>
      <w:proofErr w:type="spellEnd"/>
      <w:r w:rsidRPr="00C700EB">
        <w:rPr>
          <w:rFonts w:ascii="Times New Roman" w:hAnsi="Times New Roman" w:cs="Times New Roman"/>
          <w:sz w:val="16"/>
          <w:szCs w:val="16"/>
        </w:rPr>
        <w:t xml:space="preserve"> moderne et la crise COVID-19…………………P.39 </w:t>
      </w:r>
    </w:p>
    <w:p w14:paraId="6E244A6F"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Chapitre-3 : Concepts clés du remède traditionnel amélioré………………P.47 </w:t>
      </w:r>
    </w:p>
    <w:p w14:paraId="56BA993C"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PARTIE-</w:t>
      </w:r>
      <w:proofErr w:type="gramStart"/>
      <w:r w:rsidRPr="00C700EB">
        <w:rPr>
          <w:rFonts w:ascii="Times New Roman" w:hAnsi="Times New Roman" w:cs="Times New Roman"/>
          <w:sz w:val="16"/>
          <w:szCs w:val="16"/>
        </w:rPr>
        <w:t>II:</w:t>
      </w:r>
      <w:proofErr w:type="gramEnd"/>
      <w:r w:rsidRPr="00C700EB">
        <w:rPr>
          <w:rFonts w:ascii="Times New Roman" w:hAnsi="Times New Roman" w:cs="Times New Roman"/>
          <w:sz w:val="16"/>
          <w:szCs w:val="16"/>
        </w:rPr>
        <w:t xml:space="preserve"> CADRE STRATEGIQUE ET SOUVERAINETE SANITAIRE...P.55 </w:t>
      </w:r>
    </w:p>
    <w:p w14:paraId="3289A572"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Chapitre- 4 : Souveraineté sanitaire et autonomie nationale………………P.56 </w:t>
      </w:r>
    </w:p>
    <w:p w14:paraId="4E7C2D79"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Chapitre-5 : Le rôle des états africains dans la consolidation de la souveraineté sanitaire post-COVID-19……………………………</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P.64 </w:t>
      </w:r>
    </w:p>
    <w:p w14:paraId="712FC7B5"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Chapitre-6 : Alignement avec les cadres africains : de la vision continentale à la souveraineté sanitaire incarnée……………...P.72 </w:t>
      </w:r>
    </w:p>
    <w:p w14:paraId="070CF5F3"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PARTIE - III : APPROCHE CLINIQUE ET SCIENTIFIQUE………………...P.80 </w:t>
      </w:r>
    </w:p>
    <w:p w14:paraId="2BA4808E"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Chapitre -7 : Méthodes de validation scientifique………………………</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P.81 </w:t>
      </w:r>
    </w:p>
    <w:p w14:paraId="3A0F7271"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 - 8 : Gestion des maladies </w:t>
      </w:r>
      <w:proofErr w:type="spellStart"/>
      <w:r w:rsidRPr="00C700EB">
        <w:rPr>
          <w:rFonts w:ascii="Times New Roman" w:hAnsi="Times New Roman" w:cs="Times New Roman"/>
          <w:sz w:val="16"/>
          <w:szCs w:val="16"/>
        </w:rPr>
        <w:t>post-pandémiques</w:t>
      </w:r>
      <w:proofErr w:type="spellEnd"/>
      <w:r w:rsidRPr="00C700EB">
        <w:rPr>
          <w:rFonts w:ascii="Times New Roman" w:hAnsi="Times New Roman" w:cs="Times New Roman"/>
          <w:sz w:val="16"/>
          <w:szCs w:val="16"/>
        </w:rPr>
        <w:t>………………</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.P.91 </w:t>
      </w:r>
    </w:p>
    <w:p w14:paraId="682CB257"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Chapitre - 9 : Bonnes pratiques et recommandations opérationnelles</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P.100 </w:t>
      </w:r>
    </w:p>
    <w:p w14:paraId="5C723900"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PARTIE - IV : PLAIDOYER ET PERSPECTIVES………………...…………P.109 </w:t>
      </w:r>
    </w:p>
    <w:p w14:paraId="4AEAFC15"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Chapitre-10 : Remèdes traditionnels améliorés et politiques </w:t>
      </w:r>
      <w:proofErr w:type="gramStart"/>
      <w:r w:rsidRPr="00C700EB">
        <w:rPr>
          <w:rFonts w:ascii="Times New Roman" w:hAnsi="Times New Roman" w:cs="Times New Roman"/>
          <w:sz w:val="16"/>
          <w:szCs w:val="16"/>
        </w:rPr>
        <w:t>publiques….</w:t>
      </w:r>
      <w:proofErr w:type="gramEnd"/>
      <w:r w:rsidRPr="00C700EB">
        <w:rPr>
          <w:rFonts w:ascii="Times New Roman" w:hAnsi="Times New Roman" w:cs="Times New Roman"/>
          <w:sz w:val="16"/>
          <w:szCs w:val="16"/>
        </w:rPr>
        <w:t xml:space="preserve">.P.110 </w:t>
      </w:r>
    </w:p>
    <w:p w14:paraId="244875C4"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Chapitre - 11 : Impact social, économique et culturel du remède traditionnel amélioré………………………………………………</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P.118 </w:t>
      </w:r>
    </w:p>
    <w:p w14:paraId="0015383B"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Chapitre - 12 : Recommandations stratégiques pour décideurs……</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 xml:space="preserve">.P.127 </w:t>
      </w:r>
    </w:p>
    <w:p w14:paraId="258BACD3" w14:textId="77777777"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 xml:space="preserve">Conclusion générale……………………………………………………...…...P.134 </w:t>
      </w:r>
    </w:p>
    <w:p w14:paraId="14031909" w14:textId="491AD5DF"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t>Plan de localisation du Centre de MTHS d’ABILI…………</w:t>
      </w:r>
      <w:proofErr w:type="gramStart"/>
      <w:r w:rsidRPr="00C700EB">
        <w:rPr>
          <w:rFonts w:ascii="Times New Roman" w:hAnsi="Times New Roman" w:cs="Times New Roman"/>
          <w:sz w:val="16"/>
          <w:szCs w:val="16"/>
        </w:rPr>
        <w:t>…….</w:t>
      </w:r>
      <w:proofErr w:type="gramEnd"/>
      <w:r w:rsidRPr="00C700EB">
        <w:rPr>
          <w:rFonts w:ascii="Times New Roman" w:hAnsi="Times New Roman" w:cs="Times New Roman"/>
          <w:sz w:val="16"/>
          <w:szCs w:val="16"/>
        </w:rPr>
        <w:t>.………P.142</w:t>
      </w:r>
    </w:p>
    <w:p w14:paraId="5000ADF8" w14:textId="61B013A6" w:rsidR="001F21E0" w:rsidRPr="00C700EB" w:rsidRDefault="001F21E0" w:rsidP="00C700EB">
      <w:pPr>
        <w:spacing w:line="360" w:lineRule="auto"/>
        <w:jc w:val="both"/>
        <w:rPr>
          <w:rFonts w:ascii="Times New Roman" w:hAnsi="Times New Roman" w:cs="Times New Roman"/>
          <w:sz w:val="16"/>
          <w:szCs w:val="16"/>
        </w:rPr>
      </w:pPr>
      <w:r w:rsidRPr="00C700EB">
        <w:rPr>
          <w:rFonts w:ascii="Times New Roman" w:hAnsi="Times New Roman" w:cs="Times New Roman"/>
          <w:sz w:val="16"/>
          <w:szCs w:val="16"/>
        </w:rPr>
        <w:br w:type="page"/>
      </w:r>
      <w:r w:rsidRPr="00C700EB">
        <w:rPr>
          <w:rFonts w:ascii="Times New Roman" w:hAnsi="Times New Roman" w:cs="Times New Roman"/>
          <w:sz w:val="18"/>
          <w:szCs w:val="18"/>
        </w:rPr>
        <w:lastRenderedPageBreak/>
        <w:t>PREFACE</w:t>
      </w:r>
    </w:p>
    <w:p w14:paraId="2782C138"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Il est pour l’Association Mariale d’</w:t>
      </w:r>
      <w:proofErr w:type="spellStart"/>
      <w:r w:rsidRPr="00C700EB">
        <w:rPr>
          <w:rFonts w:ascii="Times New Roman" w:hAnsi="Times New Roman" w:cs="Times New Roman"/>
          <w:sz w:val="18"/>
          <w:szCs w:val="18"/>
        </w:rPr>
        <w:t>Abili</w:t>
      </w:r>
      <w:proofErr w:type="spellEnd"/>
      <w:r w:rsidRPr="00C700EB">
        <w:rPr>
          <w:rFonts w:ascii="Times New Roman" w:hAnsi="Times New Roman" w:cs="Times New Roman"/>
          <w:sz w:val="18"/>
          <w:szCs w:val="18"/>
        </w:rPr>
        <w:t xml:space="preserve"> (ASMAB) un honneur et un devoir de présenter ce livre, fruit d’une longue réflexion sur les défis sanitaires, spirituels et culturels auxquels notre continent a été confronté, surtout à la suite de l’épreuve mondiale qu’a représenté la pandémie de COVID-19. Cette crise, bien que douloureuse, a été pour l’Afrique un véritable révélateur : elle a mis à nu nos vulnérabilités, mais elle a également révélé la profondeur de nos ressources endogènes, notre résilience et la richesse inestimable de nos traditions de soin. L’ASMAB, depuis sa création, s’est donné pour mission de conjuguer la spiritualité, la médecine traditionnelle et la science contemporaine afin de proposer une approche holistique du bienêtre humain. </w:t>
      </w:r>
    </w:p>
    <w:p w14:paraId="253A365A"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Notre engagement repose sur la conviction que la guérison véritable ne peut se réduire à la seule dimension biologique ; elle doit intégrer le corps, l’âme et l’esprit, dans le respect des lois naturelles et des valeurs culturelles de nos peuples. Cette vision s’incarne pleinement dans ce livre, qui vise à montrer comment la médecine traditionnelle améliorée postCOVID-19 peut devenir un pilier de souveraineté sanitaire et spirituelle pour l’Afrique. </w:t>
      </w:r>
    </w:p>
    <w:p w14:paraId="59DE0AE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I. CONTEXTE DE LA PUBLICATION POST-COVID-19 </w:t>
      </w:r>
    </w:p>
    <w:p w14:paraId="54F80737"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La pandémie du COVID-19 a bouleversé le monde entier. En Afrique, les médias internationaux avaient anticipé une catastrophe sanitaire d’une ampleur sans précédent, prévoyant des millions de victimes et la paralysie des systèmes de santé. Mais, contre toute attente, le continent a su résister. Cette résilience n’est pas le fruit du hasard. Elle s’appuie sur des mécanismes endogènes : la médecine traditionnelle, les pratiques communautaires, la vigilance des chefs spirituels et le recours à des remèdes hérités de nos ancêtres. </w:t>
      </w:r>
    </w:p>
    <w:p w14:paraId="22AC06FE"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Cependant, cette période a également révélé nos dépendances : dépendance aux produits pharmaceutiques importés, dépendance aux technologies de santé occidentales, et vulnérabilité face aux crises globales. </w:t>
      </w:r>
      <w:r w:rsidRPr="00C700EB">
        <w:rPr>
          <w:rFonts w:ascii="Times New Roman" w:hAnsi="Times New Roman" w:cs="Times New Roman"/>
          <w:sz w:val="18"/>
          <w:szCs w:val="18"/>
        </w:rPr>
        <w:lastRenderedPageBreak/>
        <w:t xml:space="preserve">Elle a mis en lumière l’urgence de développer des systèmes de santé autonomes, capables de mobiliser à la fois les connaissances scientifiques contemporaines et les savoirs traditionnels africains. C’est dans ce contexte que ce livre s’inscrit : il se veut une contribution à la construction d’une souveraineté sanitaire africaine, fondée sur la médecine traditionnelle améliorée, la théologie chrétienne </w:t>
      </w:r>
      <w:proofErr w:type="spellStart"/>
      <w:r w:rsidRPr="00C700EB">
        <w:rPr>
          <w:rFonts w:ascii="Times New Roman" w:hAnsi="Times New Roman" w:cs="Times New Roman"/>
          <w:sz w:val="18"/>
          <w:szCs w:val="18"/>
        </w:rPr>
        <w:t>inculturée</w:t>
      </w:r>
      <w:proofErr w:type="spellEnd"/>
      <w:r w:rsidRPr="00C700EB">
        <w:rPr>
          <w:rFonts w:ascii="Times New Roman" w:hAnsi="Times New Roman" w:cs="Times New Roman"/>
          <w:sz w:val="18"/>
          <w:szCs w:val="18"/>
        </w:rPr>
        <w:t xml:space="preserve"> et la connaissance des réalités sociales et spirituelles de nos communautés. </w:t>
      </w:r>
    </w:p>
    <w:p w14:paraId="3E5DA71F"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II. MOTIVATION : RENFORCER LA SOUVERAINETE SANITAIRE AFRICAINE A TRAVERS LA MEDECINE TRADITIONNELLE AMELIORÉE </w:t>
      </w:r>
    </w:p>
    <w:p w14:paraId="1B752A38"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L’objectif central de cette œuvre est clair : démontrer que la médecine traditionnelle, lorsqu’elle est améliorée, validée et intégrée dans les politiques publiques, peut devenir un instrument stratégique pour l’autonomie sanitaire du continent. Il ne s’agit pas de rejeter la médecine moderne, mais de créer un</w:t>
      </w:r>
      <w:r w:rsidRPr="00C700EB">
        <w:rPr>
          <w:rFonts w:ascii="Times New Roman" w:hAnsi="Times New Roman" w:cs="Times New Roman"/>
          <w:sz w:val="18"/>
          <w:szCs w:val="18"/>
        </w:rPr>
        <w:t xml:space="preserve"> </w:t>
      </w:r>
      <w:r w:rsidRPr="00C700EB">
        <w:rPr>
          <w:rFonts w:ascii="Times New Roman" w:hAnsi="Times New Roman" w:cs="Times New Roman"/>
          <w:sz w:val="18"/>
          <w:szCs w:val="18"/>
        </w:rPr>
        <w:t xml:space="preserve">dialogue fécond entre science, tradition et spiritualité. La guérison ne peut être envisagée uniquement dans les laboratoires ou les hôpitaux ; elle doit aussi puiser dans la sagesse ancestrale, dans la pharmacopée africaine et dans les pratiques spirituelles qui ont façonné nos sociétés depuis des millénaires. Dans ce cadre, la Médecine Traditionnelle des Handicapés Spirituels (MTHS) occupe une place centrale. Cette approche considère que certaines affections, surtout lorsqu’elles touchent le psychisme ou l’esprit, sont liées à des déséquilibres spirituels ou à des influences maléfiques héritées de l’histoire personnelle ou collective. </w:t>
      </w:r>
    </w:p>
    <w:p w14:paraId="260304B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La MTHS propose des protocoles de désenvoûtement, de délivrance et de réconciliation spirituelle, tout en intégrant les traitements par les plantes médicinales, les écorces d’arbres et les remèdes naturels validés. Ainsi, elle représente un pont entre la foi chrétienne, la médecine traditionnelle et l’anthropologie médicale africaine. Nous voulons, à travers ce livre, partager une vision intégrée de la santé : une vision où la guérison physique, psychique et spirituelle est envisagée dans sa globalité. Cette approche, profondément </w:t>
      </w:r>
      <w:proofErr w:type="spellStart"/>
      <w:r w:rsidRPr="00C700EB">
        <w:rPr>
          <w:rFonts w:ascii="Times New Roman" w:hAnsi="Times New Roman" w:cs="Times New Roman"/>
          <w:sz w:val="18"/>
          <w:szCs w:val="18"/>
        </w:rPr>
        <w:t>inculturée</w:t>
      </w:r>
      <w:proofErr w:type="spellEnd"/>
      <w:r w:rsidRPr="00C700EB">
        <w:rPr>
          <w:rFonts w:ascii="Times New Roman" w:hAnsi="Times New Roman" w:cs="Times New Roman"/>
          <w:sz w:val="18"/>
          <w:szCs w:val="18"/>
        </w:rPr>
        <w:t xml:space="preserve">, est particulièrement adaptée aux réalités africaines, où la </w:t>
      </w:r>
      <w:r w:rsidRPr="00C700EB">
        <w:rPr>
          <w:rFonts w:ascii="Times New Roman" w:hAnsi="Times New Roman" w:cs="Times New Roman"/>
          <w:sz w:val="18"/>
          <w:szCs w:val="18"/>
        </w:rPr>
        <w:lastRenderedPageBreak/>
        <w:t xml:space="preserve">dimension spirituelle n’est jamais dissociée de la santé corporelle. Elle constitue également une réponse pratique aux crises sanitaires comme le COVID-19, en offrant des solutions locales, efficaces et respectueuses des identités culturelles.  </w:t>
      </w:r>
    </w:p>
    <w:p w14:paraId="79FEE5ED"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III. LA DIMENSION THEOLOGIQUE ET SPIRITUELLE</w:t>
      </w:r>
      <w:r w:rsidRPr="00C700EB">
        <w:rPr>
          <w:rFonts w:ascii="Times New Roman" w:hAnsi="Times New Roman" w:cs="Times New Roman"/>
          <w:sz w:val="18"/>
          <w:szCs w:val="18"/>
        </w:rPr>
        <w:t xml:space="preserve"> </w:t>
      </w:r>
    </w:p>
    <w:p w14:paraId="7F66E09D"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La guérison, dans notre perspective, ne peut se comprendre sans la théologie. La Bible elle-même valorise les remèdes naturels, comme le rappelle le verset de Siracide 38,4 : « Le Seigneur a créé les remèdes de la terre, et l’homme sage ne les méprise pas. » Ce texte illustre parfaitement notre démarche : la médecine traditionnelle est un don divin, un instrument que Dieu a mis à la disposition de l’homme pour préserver sa santé et son bienêtre. </w:t>
      </w:r>
    </w:p>
    <w:p w14:paraId="7F28F9DE"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La foi chrétienne, lorsqu’elle est </w:t>
      </w:r>
      <w:proofErr w:type="spellStart"/>
      <w:r w:rsidRPr="00C700EB">
        <w:rPr>
          <w:rFonts w:ascii="Times New Roman" w:hAnsi="Times New Roman" w:cs="Times New Roman"/>
          <w:sz w:val="18"/>
          <w:szCs w:val="18"/>
        </w:rPr>
        <w:t>inculturée</w:t>
      </w:r>
      <w:proofErr w:type="spellEnd"/>
      <w:r w:rsidRPr="00C700EB">
        <w:rPr>
          <w:rFonts w:ascii="Times New Roman" w:hAnsi="Times New Roman" w:cs="Times New Roman"/>
          <w:sz w:val="18"/>
          <w:szCs w:val="18"/>
        </w:rPr>
        <w:t xml:space="preserve">, permet d’inscrire la guérison dans une logique d’espérance et de responsabilité morale. Dans le contexte post-COVID-19, cette dimension spirituelle a été essentielle. Elle a permis aux communautés de maintenir l’espoir, d’organiser des réseaux de solidarité et de soutenir les personnes vulnérables. La délivrance spirituelle et le désenvoûtement ne sont pas de simples rites ; ce sont des pratiques thérapeutiques qui restaurent l’équilibre intérieur et préparent le corps et l’âme à recevoir les bienfaits des remèdes naturels. </w:t>
      </w:r>
    </w:p>
    <w:p w14:paraId="33E176E0" w14:textId="77777777" w:rsidR="001F21E0" w:rsidRPr="00C700EB" w:rsidRDefault="001F21E0" w:rsidP="00C700EB">
      <w:pPr>
        <w:spacing w:line="360" w:lineRule="auto"/>
        <w:jc w:val="both"/>
        <w:rPr>
          <w:rFonts w:ascii="Times New Roman" w:hAnsi="Times New Roman" w:cs="Times New Roman"/>
          <w:sz w:val="18"/>
          <w:szCs w:val="18"/>
        </w:rPr>
      </w:pPr>
      <w:r w:rsidRPr="00C700EB">
        <w:rPr>
          <w:rFonts w:ascii="Times New Roman" w:hAnsi="Times New Roman" w:cs="Times New Roman"/>
          <w:sz w:val="18"/>
          <w:szCs w:val="18"/>
        </w:rPr>
        <w:t xml:space="preserve">IV. L’ANTHROPOLOGIE MEDICALE AFRICAINE ET L’INCULTURATION DU CHRISTIANISME </w:t>
      </w:r>
    </w:p>
    <w:p w14:paraId="4133F383"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L’anthropologie médicale africaine nous enseigne que la santé ne peut être dissociée de la culture. Les symptômes physiques sont souvent liés à des facteurs sociaux, psychologiques</w:t>
      </w:r>
      <w:r w:rsidRPr="00C700EB">
        <w:rPr>
          <w:rFonts w:ascii="Times New Roman" w:hAnsi="Times New Roman" w:cs="Times New Roman"/>
          <w:sz w:val="18"/>
          <w:szCs w:val="18"/>
        </w:rPr>
        <w:t xml:space="preserve"> </w:t>
      </w:r>
      <w:r w:rsidRPr="00C700EB">
        <w:rPr>
          <w:rFonts w:ascii="Times New Roman" w:hAnsi="Times New Roman" w:cs="Times New Roman"/>
          <w:sz w:val="18"/>
          <w:szCs w:val="18"/>
        </w:rPr>
        <w:t xml:space="preserve">et spirituels. Comprendre ces liens est essentiel pour proposer des traitements efficaces et acceptés par les populations. L’inculturation du christianisme consiste à intégrer cette compréhension dans la foi et la pratique chrétienne, afin que la spiritualité soit un outil de santé publique et de cohésion sociale, plutôt qu’une dimension isolée. Ainsi, les protocoles de MTHS, basés sur des plantes, des herbes et des </w:t>
      </w:r>
      <w:r w:rsidRPr="00C700EB">
        <w:rPr>
          <w:rFonts w:ascii="Times New Roman" w:hAnsi="Times New Roman" w:cs="Times New Roman"/>
          <w:sz w:val="18"/>
          <w:szCs w:val="18"/>
        </w:rPr>
        <w:lastRenderedPageBreak/>
        <w:t xml:space="preserve">pratiques spirituelles, doivent être compris non seulement comme des traitements médicaux, mais aussi comme des vecteurs de renforcement de la résilience communautaire, de la responsabilité individuelle et de la souveraineté sanitaire. </w:t>
      </w:r>
    </w:p>
    <w:p w14:paraId="1E6E896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V. Remerciements et reconnaissance des acteurs Nous ne saurions achever cette préface sans exprimer notre gratitude à tous ceux qui ont rendu ce travail possible. Aux chercheurs qui ont étudié la pharmacopée africaine, aux praticiens de la MTHS qui ont mis en œuvre ces protocoles avec rigueur et compassion, aux partenaires institutionnels qui ont soutenu notre vision, et aux communautés qui ont ouvert leurs savoirs et leurs traditions pour le bien de tous. </w:t>
      </w:r>
    </w:p>
    <w:p w14:paraId="572B6FAD" w14:textId="0111AEE0"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Votre engagement démontre qu’il est possible de conjuguer foi, science et tradition pour construire une Afrique autonome, saine et spirituellement équilibrée. 15 VI. Conclusion de la préface Ce livre est bien plus qu’un simple recueil de connaissances : il est un appel à l’action, un guide pour les décideurs, les praticiens et les communautés. Il rappelle que la santé en Afrique ne se construit pas seulement dans les laboratoires, mais dans les jardins, les forêts, les églises et les foyers. La médecine traditionnelle améliorée post-COVID-19, alliée à la foi et à la science, est un pilier de la souveraineté sanitaire et spirituelle des États africains. Nous invitons le lecteur à s’immerger dans ce parcours initiatique, à comprendre la profondeur de nos traditions, à reconnaître la valeur des remèdes naturels et à envisager la santé comme un bien commun, spirituel et culturel, au service de toute l’Afrique.</w:t>
      </w:r>
    </w:p>
    <w:p w14:paraId="47483E54" w14:textId="43AA695F"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AVANT-PROPOS</w:t>
      </w:r>
    </w:p>
    <w:p w14:paraId="05C2E363"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Renforcer la souveraineté sanitaire de l’Afrique post-COVID-19 La pandémie de COVID-19 a constitué un choc sanitaire, économique et social majeur pour l’Afrique. Malgré des systèmes de santé structurellement fragiles, le continent a démontré une résilience remarquable grâce à : </w:t>
      </w:r>
    </w:p>
    <w:p w14:paraId="4D9FD147"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L’engagement communautaire et la mobilisation sociale ; </w:t>
      </w:r>
    </w:p>
    <w:p w14:paraId="4C826BDA"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lastRenderedPageBreak/>
        <w:sym w:font="Symbol" w:char="F0B7"/>
      </w:r>
      <w:r w:rsidRPr="00C700EB">
        <w:rPr>
          <w:rFonts w:ascii="Times New Roman" w:hAnsi="Times New Roman" w:cs="Times New Roman"/>
          <w:sz w:val="18"/>
          <w:szCs w:val="18"/>
        </w:rPr>
        <w:t xml:space="preserve"> L’utilisation de remèdes traditionnels améliorés et de la Médecine Traditionnelle des Handicapés Spirituels (MTHS) ;</w:t>
      </w:r>
    </w:p>
    <w:p w14:paraId="565E9F98"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 </w:t>
      </w: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L’innovation locale dans la prévention et le traitement. Ce rapport de plaidoyer présente les leçons politiques et stratégiques tirées de cette crise et propose des recommandations concrètes et chiffrées pour renforcer la souveraineté sanitaire de l’Afrique, en s’inscrivant dans les cadres institutionnels africains tels que l’Agenda 2063, l’Union africaine et l’OMS Afrique. </w:t>
      </w:r>
    </w:p>
    <w:p w14:paraId="6EEDE597" w14:textId="378DCF83"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I. CONSTAT : DEFIS ET VULNÉRABILITÉS REVÉLÉS PAR LA PANDEMIE 1. Faiblesses des systèmes biomédicaux </w:t>
      </w:r>
    </w:p>
    <w:p w14:paraId="0C8ED0E5"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Faible financement des systèmes de santé : dépenses publiques inférieures à 5 % du PIB dans la majorité des pays africains. </w:t>
      </w:r>
    </w:p>
    <w:p w14:paraId="70286570" w14:textId="6E68AFA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Dépendance élevée aux importations : plus de 70 % des médicaments et vaccins proviennent de l’extérieur. </w:t>
      </w:r>
    </w:p>
    <w:p w14:paraId="2524AA55"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Inégalités territoriales : hôpitaux concentrés dans les villes, désertification sanitaire des zones rurales. 2. Déficits en ressources humaines </w:t>
      </w:r>
    </w:p>
    <w:p w14:paraId="4E995852"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Ratio moyen médecins/population : </w:t>
      </w:r>
    </w:p>
    <w:p w14:paraId="43525B99"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1 pour 1 500 habitants (OMS Afrique). </w:t>
      </w:r>
    </w:p>
    <w:p w14:paraId="56A0E655"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Manque de personnel qualifié en soins intensifs et en santé publique. </w:t>
      </w:r>
    </w:p>
    <w:p w14:paraId="2B2D523D"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3. Risques pour la souveraineté sanitaire </w:t>
      </w:r>
    </w:p>
    <w:p w14:paraId="3B3D2EF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Dépendance critique aux chaînes d’approvisionnement mondiales. </w:t>
      </w:r>
    </w:p>
    <w:p w14:paraId="5338100F"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Retards d’accès aux vaccins et équipements critiques. </w:t>
      </w:r>
    </w:p>
    <w:p w14:paraId="5AB96F8D"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Vulnérabilité aux pandémies futures.</w:t>
      </w:r>
    </w:p>
    <w:p w14:paraId="217EB7B9"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lastRenderedPageBreak/>
        <w:t xml:space="preserve">II. OPPORTUNITÉS REVÉLÉES PAR LA PANDEMIE Malgré les défis, la pandémie a mis en lumière plusieurs atouts africains : </w:t>
      </w:r>
    </w:p>
    <w:p w14:paraId="465415D1"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1. Résilience communautaire et solidarité sociale : mobilisation des leaders traditionnels, religieux et associatifs pour la prévention et la prise en charge des malades. </w:t>
      </w:r>
    </w:p>
    <w:p w14:paraId="031D614E"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2. Médecine traditionnelle améliorée : recours aux plantes médicinales, herbes et écorces combiné avec des protocoles validés pour soutenir la santé publique. </w:t>
      </w:r>
    </w:p>
    <w:p w14:paraId="144B4165"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3. Innovation locale : laboratoires communautaires, plateformes de suivi numérique et communication de proximité. </w:t>
      </w:r>
    </w:p>
    <w:p w14:paraId="1536212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4. Expérience antérieure des épidémies : Ebola, choléra, VIH/SIDA ont permis de développer une mémoire sanitaire collective et des stratégies de riposte rapide. </w:t>
      </w:r>
    </w:p>
    <w:p w14:paraId="608D02E0"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III. CADRES AFRICAINS PERTINENTS </w:t>
      </w:r>
    </w:p>
    <w:p w14:paraId="196F7FB5"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1. Agenda 2063 – « L’Afrique que nous voulons » o Objectif : garantir la santé et le bien-être pour tous d’ici 2063.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Cible spécifique : réduire la dépendance aux importations de médicaments et vaccins, renforcer les capacités locales. </w:t>
      </w:r>
    </w:p>
    <w:p w14:paraId="6EAE0A43"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2. Union africaine (UA) et CDC Afrique o Coordination continentale pour la surveillance des maladies et la riposte rapide.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Soutien à la standardisation des protocoles de santé publique. </w:t>
      </w:r>
    </w:p>
    <w:p w14:paraId="3834FFF8"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3. OMS Afrique o Assistance technique pour la mise en œuvre des politiques nationales de santé.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Harmonisation des stratégies régionales de vaccination et de prévention. 19 IV. RECOMMANDATIONS STRATEGIQUES </w:t>
      </w:r>
    </w:p>
    <w:p w14:paraId="6C9B85C2"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1. Renforcement de la souveraineté sanitaire Action Objectif chiffré Responsable Développement de l’industrie pharmaceutique locale Produire 70 % des médicaments essentiels d’ici 2030 Ministres de la santé, agences </w:t>
      </w:r>
      <w:r w:rsidRPr="00C700EB">
        <w:rPr>
          <w:rFonts w:ascii="Times New Roman" w:hAnsi="Times New Roman" w:cs="Times New Roman"/>
          <w:sz w:val="18"/>
          <w:szCs w:val="18"/>
        </w:rPr>
        <w:lastRenderedPageBreak/>
        <w:t xml:space="preserve">régionales de production Standardisation et certification des remèdes traditionnels améliorés 50 % des remèdes validés scientifiquement d’ici 2027 Ministères de la santé, laboratoires nationaux, associations de praticiens traditionnels Constitution d’un fonds continental de résilience sanitaire 5 % du budget national dédié à la production locale et aux laboratoires communautaires Chefs d’État, Union africaine </w:t>
      </w:r>
    </w:p>
    <w:p w14:paraId="2183B581"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2. Intégration de la médecine traditionnelle améliorée dans la santé publique </w:t>
      </w:r>
    </w:p>
    <w:p w14:paraId="0AD2371A" w14:textId="3D989472"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Créer des centres MTHS dans chaque district sanitaire. </w:t>
      </w:r>
    </w:p>
    <w:p w14:paraId="5052B0A1" w14:textId="6F167B5F"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Former 10 000 praticiens traditionnels certifiés d’ici 2030. </w:t>
      </w:r>
    </w:p>
    <w:p w14:paraId="13653482"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Développer un répertoire national des plantes médicinales et protocoles validés. 3. Investissement dans la prévention et la surveillance </w:t>
      </w:r>
    </w:p>
    <w:p w14:paraId="7D6ED390"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Couverture vaccinale et prophylaxie renforcée dans 90 % des communautés rurales. </w:t>
      </w:r>
    </w:p>
    <w:p w14:paraId="54675DA2"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Mise en place de systèmes numériques de suivi sanitaire dans tous les pays membres de l’UA. </w:t>
      </w:r>
    </w:p>
    <w:p w14:paraId="71632669"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Sensibilisation communautaire et programmes d’éducation sanitaire dans toutes les écoles primaires et secondaires. </w:t>
      </w:r>
    </w:p>
    <w:p w14:paraId="4B5F3541"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4. Renforcement de la coopération régionale </w:t>
      </w:r>
    </w:p>
    <w:p w14:paraId="518A35B2"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Partage de laboratoires et de protocoles validés via les CDC Afrique. </w:t>
      </w:r>
    </w:p>
    <w:p w14:paraId="7393A889"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Création d’un réseau africain de recherche sur la médecine traditionnelle améliorée. </w:t>
      </w:r>
    </w:p>
    <w:p w14:paraId="7EBDA90A"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Mise en œuvre de protocoles continentaux d’urgence sanitaire, harmonisés avec l’Agenda 2063. </w:t>
      </w:r>
    </w:p>
    <w:p w14:paraId="0A02398D" w14:textId="00B6C559"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V. PLAN D’ACTION POLITIQUE </w:t>
      </w:r>
    </w:p>
    <w:p w14:paraId="0225278D" w14:textId="3226B489"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lastRenderedPageBreak/>
        <w:t xml:space="preserve">1. Court terme (1-3 ans) o Certification et standardisation des remèdes traditionnels.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Déploiement de centres MTHS pilotes dans 5 à 10 pays.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Création d’un observatoire africain des maladies émergentes.  </w:t>
      </w:r>
    </w:p>
    <w:p w14:paraId="26CFC76D"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2. Moyen terme (3-7 ans) o Expansion de l’industrie pharmaceutique locale.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Formation et intégration de 10 000 praticiens traditionnels certifiés.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Renforcement des systèmes de collecte de données sanitaires et épidémiologiques. </w:t>
      </w:r>
    </w:p>
    <w:p w14:paraId="21838F1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3. Long terme (7-10 ans) o Indépendance pharmaceutique pour 70 % des médicaments essentiels.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Intégration complète de la médecine traditionnelle améliorée dans les politiques nationales de santé. </w:t>
      </w:r>
      <w:proofErr w:type="gramStart"/>
      <w:r w:rsidRPr="00C700EB">
        <w:rPr>
          <w:rFonts w:ascii="Times New Roman" w:hAnsi="Times New Roman" w:cs="Times New Roman"/>
          <w:sz w:val="18"/>
          <w:szCs w:val="18"/>
        </w:rPr>
        <w:t>o</w:t>
      </w:r>
      <w:proofErr w:type="gramEnd"/>
      <w:r w:rsidRPr="00C700EB">
        <w:rPr>
          <w:rFonts w:ascii="Times New Roman" w:hAnsi="Times New Roman" w:cs="Times New Roman"/>
          <w:sz w:val="18"/>
          <w:szCs w:val="18"/>
        </w:rPr>
        <w:t xml:space="preserve"> Réseau continental de prévention et riposte aux pandémies opérationnel dans tous les États membres. </w:t>
      </w:r>
    </w:p>
    <w:p w14:paraId="678E8B87"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VI. JUSTIFICATION STRATEGIQUE POUR LES DÉCIDEURS AFRICAINS </w:t>
      </w:r>
    </w:p>
    <w:p w14:paraId="22EE11A9"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1. Autonomie et souveraineté : Réduire la dépendance aux importations et sécuriser l’accès aux soins. </w:t>
      </w:r>
    </w:p>
    <w:p w14:paraId="7C439934"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2. Résilience et sécurité sanitaire : Anticiper et limiter l’impact des futures pandémies. </w:t>
      </w:r>
    </w:p>
    <w:p w14:paraId="296ED788"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3. Développement économique : Créer des emplois dans les laboratoires, la production et la distribution locale. </w:t>
      </w:r>
    </w:p>
    <w:p w14:paraId="2825BDA9" w14:textId="24CFC71C"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4. Cohésion sociale et culturelle : Valoriser le patrimoine culturel et les pratiques spirituelles de santé endogènes. </w:t>
      </w:r>
    </w:p>
    <w:p w14:paraId="3B23D8A6"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t xml:space="preserve">VII. CONCLUSION La pandémie de COVID-19 a été un révélateur de vulnérabilités mais aussi un catalyseur d’opportunités pour l’Afrique. Les décideurs politiques doivent saisir l’occasion pour : </w:t>
      </w:r>
    </w:p>
    <w:p w14:paraId="1E672DF8"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Investir dans la souveraineté sanitaire. </w:t>
      </w:r>
    </w:p>
    <w:p w14:paraId="05348395"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Intégrer la médecine traditionnelle améliorée dans les systèmes de santé. </w:t>
      </w:r>
    </w:p>
    <w:p w14:paraId="3EF99317" w14:textId="77777777"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lastRenderedPageBreak/>
        <w:sym w:font="Symbol" w:char="F0B7"/>
      </w:r>
      <w:r w:rsidRPr="00C700EB">
        <w:rPr>
          <w:rFonts w:ascii="Times New Roman" w:hAnsi="Times New Roman" w:cs="Times New Roman"/>
          <w:sz w:val="18"/>
          <w:szCs w:val="18"/>
        </w:rPr>
        <w:t xml:space="preserve"> Développer des politiques régionales coordonnées via l’Union africaine et l’OMS Afrique. </w:t>
      </w:r>
    </w:p>
    <w:p w14:paraId="40CE9A22" w14:textId="10735372" w:rsidR="001F21E0" w:rsidRPr="00C700EB" w:rsidRDefault="001F21E0" w:rsidP="00C700EB">
      <w:pPr>
        <w:spacing w:line="360" w:lineRule="auto"/>
        <w:ind w:firstLine="708"/>
        <w:jc w:val="both"/>
        <w:rPr>
          <w:rFonts w:ascii="Times New Roman" w:hAnsi="Times New Roman" w:cs="Times New Roman"/>
          <w:sz w:val="18"/>
          <w:szCs w:val="18"/>
        </w:rPr>
      </w:pPr>
      <w:r w:rsidRPr="00C700EB">
        <w:rPr>
          <w:rFonts w:ascii="Times New Roman" w:hAnsi="Times New Roman" w:cs="Times New Roman"/>
          <w:sz w:val="18"/>
          <w:szCs w:val="18"/>
        </w:rPr>
        <w:sym w:font="Symbol" w:char="F0B7"/>
      </w:r>
      <w:r w:rsidRPr="00C700EB">
        <w:rPr>
          <w:rFonts w:ascii="Times New Roman" w:hAnsi="Times New Roman" w:cs="Times New Roman"/>
          <w:sz w:val="18"/>
          <w:szCs w:val="18"/>
        </w:rPr>
        <w:t xml:space="preserve"> Aligner les actions sur l’Agenda 2063, en garantissant la santé et le bien-être des populations africaines. La santé en Afrique n’est pas uniquement un défi technique, mais un enjeu stratégique et politique. Le temps est venu pour les ministres, parlementaires et chefs d’État de transformer ces leçons en politiques concrètes, mesurables et durables, pour une Afrique résiliente, autonome et souveraine. </w:t>
      </w:r>
    </w:p>
    <w:p w14:paraId="5D4A2693" w14:textId="77777777" w:rsidR="001F21E0" w:rsidRPr="00C700EB" w:rsidRDefault="001F21E0" w:rsidP="00C700EB">
      <w:pPr>
        <w:spacing w:line="360" w:lineRule="auto"/>
        <w:ind w:firstLine="708"/>
        <w:jc w:val="both"/>
        <w:rPr>
          <w:rFonts w:ascii="Times New Roman" w:hAnsi="Times New Roman" w:cs="Times New Roman"/>
          <w:sz w:val="18"/>
          <w:szCs w:val="18"/>
        </w:rPr>
      </w:pPr>
    </w:p>
    <w:sectPr w:rsidR="001F21E0" w:rsidRPr="00C700EB" w:rsidSect="001F21E0">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E0"/>
    <w:rsid w:val="001552F7"/>
    <w:rsid w:val="00186A94"/>
    <w:rsid w:val="001C499D"/>
    <w:rsid w:val="001F21E0"/>
    <w:rsid w:val="00A26E6B"/>
    <w:rsid w:val="00B04921"/>
    <w:rsid w:val="00C700EB"/>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A997"/>
  <w15:chartTrackingRefBased/>
  <w15:docId w15:val="{78DCAF79-4F6B-476A-87C0-69FEC08C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2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F2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F21E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F21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F21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F21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21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21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21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21E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F21E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F21E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F21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F21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F21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21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21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21E0"/>
    <w:rPr>
      <w:rFonts w:eastAsiaTheme="majorEastAsia" w:cstheme="majorBidi"/>
      <w:color w:val="272727" w:themeColor="text1" w:themeTint="D8"/>
    </w:rPr>
  </w:style>
  <w:style w:type="paragraph" w:styleId="Titre">
    <w:name w:val="Title"/>
    <w:basedOn w:val="Normal"/>
    <w:next w:val="Normal"/>
    <w:link w:val="TitreCar"/>
    <w:uiPriority w:val="10"/>
    <w:qFormat/>
    <w:rsid w:val="001F2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21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21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21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21E0"/>
    <w:pPr>
      <w:spacing w:before="160"/>
      <w:jc w:val="center"/>
    </w:pPr>
    <w:rPr>
      <w:i/>
      <w:iCs/>
      <w:color w:val="404040" w:themeColor="text1" w:themeTint="BF"/>
    </w:rPr>
  </w:style>
  <w:style w:type="character" w:customStyle="1" w:styleId="CitationCar">
    <w:name w:val="Citation Car"/>
    <w:basedOn w:val="Policepardfaut"/>
    <w:link w:val="Citation"/>
    <w:uiPriority w:val="29"/>
    <w:rsid w:val="001F21E0"/>
    <w:rPr>
      <w:i/>
      <w:iCs/>
      <w:color w:val="404040" w:themeColor="text1" w:themeTint="BF"/>
    </w:rPr>
  </w:style>
  <w:style w:type="paragraph" w:styleId="Paragraphedeliste">
    <w:name w:val="List Paragraph"/>
    <w:basedOn w:val="Normal"/>
    <w:uiPriority w:val="34"/>
    <w:qFormat/>
    <w:rsid w:val="001F21E0"/>
    <w:pPr>
      <w:ind w:left="720"/>
      <w:contextualSpacing/>
    </w:pPr>
  </w:style>
  <w:style w:type="character" w:styleId="Accentuationintense">
    <w:name w:val="Intense Emphasis"/>
    <w:basedOn w:val="Policepardfaut"/>
    <w:uiPriority w:val="21"/>
    <w:qFormat/>
    <w:rsid w:val="001F21E0"/>
    <w:rPr>
      <w:i/>
      <w:iCs/>
      <w:color w:val="2F5496" w:themeColor="accent1" w:themeShade="BF"/>
    </w:rPr>
  </w:style>
  <w:style w:type="paragraph" w:styleId="Citationintense">
    <w:name w:val="Intense Quote"/>
    <w:basedOn w:val="Normal"/>
    <w:next w:val="Normal"/>
    <w:link w:val="CitationintenseCar"/>
    <w:uiPriority w:val="30"/>
    <w:qFormat/>
    <w:rsid w:val="001F2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F21E0"/>
    <w:rPr>
      <w:i/>
      <w:iCs/>
      <w:color w:val="2F5496" w:themeColor="accent1" w:themeShade="BF"/>
    </w:rPr>
  </w:style>
  <w:style w:type="character" w:styleId="Rfrenceintense">
    <w:name w:val="Intense Reference"/>
    <w:basedOn w:val="Policepardfaut"/>
    <w:uiPriority w:val="32"/>
    <w:qFormat/>
    <w:rsid w:val="001F2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2500</Words>
  <Characters>13755</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2026-07-20T12:04:00Z</dcterms:created>
  <dcterms:modified xsi:type="dcterms:W3CDTF">2026-07-20T12:17:00Z</dcterms:modified>
</cp:coreProperties>
</file>