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919" w:rsidRPr="00601919" w:rsidRDefault="00601919" w:rsidP="00601919">
      <w:pPr>
        <w:widowControl w:val="0"/>
        <w:autoSpaceDE w:val="0"/>
        <w:autoSpaceDN w:val="0"/>
        <w:spacing w:after="120" w:line="240" w:lineRule="auto"/>
        <w:jc w:val="center"/>
        <w:rPr>
          <w:rFonts w:asciiTheme="majorBidi" w:eastAsia="Verdana" w:hAnsiTheme="majorBidi" w:cstheme="majorBidi"/>
          <w:sz w:val="32"/>
          <w:szCs w:val="32"/>
          <w:lang w:bidi="ar-AE"/>
        </w:rPr>
      </w:pPr>
      <w:bookmarkStart w:id="0" w:name="_GoBack"/>
      <w:bookmarkEnd w:id="0"/>
      <w:r w:rsidRPr="00601919">
        <w:rPr>
          <w:rFonts w:asciiTheme="majorBidi" w:eastAsia="Verdana" w:hAnsiTheme="majorBidi" w:cstheme="majorBidi"/>
          <w:sz w:val="32"/>
          <w:szCs w:val="32"/>
          <w:lang w:bidi="ar-AE"/>
        </w:rPr>
        <w:t>Post-operative instructions for scaling and root planning</w:t>
      </w:r>
    </w:p>
    <w:p w:rsidR="00601919" w:rsidRPr="00601919" w:rsidRDefault="00601919" w:rsidP="00601919">
      <w:pPr>
        <w:widowControl w:val="0"/>
        <w:autoSpaceDE w:val="0"/>
        <w:autoSpaceDN w:val="0"/>
        <w:spacing w:after="120" w:line="240" w:lineRule="auto"/>
        <w:jc w:val="center"/>
        <w:rPr>
          <w:rFonts w:asciiTheme="majorBidi" w:eastAsia="Verdana" w:hAnsiTheme="majorBidi" w:cstheme="majorBidi"/>
          <w:sz w:val="32"/>
          <w:szCs w:val="32"/>
          <w:rtl/>
          <w:lang w:bidi="ar-AE"/>
        </w:rPr>
      </w:pPr>
      <w:r w:rsidRPr="00601919">
        <w:rPr>
          <w:rFonts w:asciiTheme="majorBidi" w:eastAsia="Verdana" w:hAnsiTheme="majorBidi" w:cstheme="majorBidi" w:hint="cs"/>
          <w:sz w:val="32"/>
          <w:szCs w:val="32"/>
          <w:rtl/>
          <w:lang w:bidi="ar-AE"/>
        </w:rPr>
        <w:t>تعليمات ما بعد نظافة اللثة</w:t>
      </w:r>
    </w:p>
    <w:tbl>
      <w:tblPr>
        <w:tblStyle w:val="TableGrid"/>
        <w:tblW w:w="0" w:type="auto"/>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5"/>
        <w:gridCol w:w="4390"/>
      </w:tblGrid>
      <w:tr w:rsidR="00601919" w:rsidRPr="00601919" w:rsidTr="00FE72F0">
        <w:trPr>
          <w:trHeight w:val="2806"/>
        </w:trPr>
        <w:tc>
          <w:tcPr>
            <w:tcW w:w="5684" w:type="dxa"/>
          </w:tcPr>
          <w:p w:rsidR="00601919" w:rsidRPr="00601919" w:rsidRDefault="00601919" w:rsidP="00601919">
            <w:pPr>
              <w:numPr>
                <w:ilvl w:val="0"/>
                <w:numId w:val="1"/>
              </w:numPr>
              <w:spacing w:before="102" w:line="237" w:lineRule="auto"/>
              <w:ind w:right="122"/>
              <w:rPr>
                <w:rFonts w:ascii="Verdana" w:eastAsia="Verdana" w:hAnsi="Verdana" w:cs="Verdana"/>
                <w:sz w:val="20"/>
                <w:szCs w:val="20"/>
                <w:lang w:bidi="en-US"/>
              </w:rPr>
            </w:pPr>
            <w:r w:rsidRPr="00601919">
              <w:rPr>
                <w:rFonts w:ascii="Verdana" w:eastAsia="Verdana" w:hAnsi="Verdana" w:cs="Verdana"/>
                <w:sz w:val="20"/>
                <w:szCs w:val="20"/>
                <w:lang w:bidi="en-US"/>
              </w:rPr>
              <w:t xml:space="preserve">Scaling and root planning is a non-surgical treatment for periodontal (gum) disease. The procedure removes bacterial plaque and tartar from around your teeth and beneath your gum </w:t>
            </w:r>
            <w:proofErr w:type="spellStart"/>
            <w:r w:rsidRPr="00601919">
              <w:rPr>
                <w:rFonts w:ascii="Verdana" w:eastAsia="Verdana" w:hAnsi="Verdana" w:cs="Verdana"/>
                <w:sz w:val="20"/>
                <w:szCs w:val="20"/>
                <w:lang w:bidi="en-US"/>
              </w:rPr>
              <w:t>line.The</w:t>
            </w:r>
            <w:proofErr w:type="spellEnd"/>
            <w:r w:rsidRPr="00601919">
              <w:rPr>
                <w:rFonts w:ascii="Verdana" w:eastAsia="Verdana" w:hAnsi="Verdana" w:cs="Verdana"/>
                <w:sz w:val="20"/>
                <w:szCs w:val="20"/>
                <w:lang w:bidi="en-US"/>
              </w:rPr>
              <w:t xml:space="preserve"> treatment cleans and </w:t>
            </w:r>
            <w:proofErr w:type="spellStart"/>
            <w:r w:rsidRPr="00601919">
              <w:rPr>
                <w:rFonts w:ascii="Verdana" w:eastAsia="Verdana" w:hAnsi="Verdana" w:cs="Verdana"/>
                <w:sz w:val="20"/>
                <w:szCs w:val="20"/>
                <w:lang w:bidi="en-US"/>
              </w:rPr>
              <w:t>smooth</w:t>
            </w:r>
            <w:r w:rsidRPr="00601919">
              <w:rPr>
                <w:rFonts w:ascii="Arial" w:eastAsia="Verdana" w:hAnsi="Arial" w:cs="Arial"/>
                <w:sz w:val="20"/>
                <w:szCs w:val="20"/>
              </w:rPr>
              <w:t>e</w:t>
            </w:r>
            <w:r w:rsidRPr="00601919">
              <w:rPr>
                <w:rFonts w:ascii="Verdana" w:eastAsia="Verdana" w:hAnsi="Verdana" w:cs="Verdana"/>
                <w:sz w:val="20"/>
                <w:szCs w:val="20"/>
                <w:lang w:bidi="en-US"/>
              </w:rPr>
              <w:t>s</w:t>
            </w:r>
            <w:proofErr w:type="spellEnd"/>
            <w:r w:rsidRPr="00601919">
              <w:rPr>
                <w:rFonts w:ascii="Verdana" w:eastAsia="Verdana" w:hAnsi="Verdana" w:cs="Verdana"/>
                <w:sz w:val="20"/>
                <w:szCs w:val="20"/>
                <w:lang w:bidi="en-US"/>
              </w:rPr>
              <w:t xml:space="preserve"> your teeth and roots. It promotes healing from inflammation and infection associated with gum disease.</w:t>
            </w:r>
          </w:p>
          <w:p w:rsidR="00601919" w:rsidRPr="00601919" w:rsidRDefault="00601919" w:rsidP="00601919">
            <w:pPr>
              <w:rPr>
                <w:rFonts w:ascii="Verdana" w:eastAsia="Verdana" w:hAnsi="Verdana" w:cs="Verdana"/>
                <w:sz w:val="20"/>
                <w:szCs w:val="20"/>
                <w:lang w:bidi="en-US"/>
              </w:rPr>
            </w:pPr>
          </w:p>
        </w:tc>
        <w:tc>
          <w:tcPr>
            <w:tcW w:w="5395" w:type="dxa"/>
          </w:tcPr>
          <w:p w:rsidR="00601919" w:rsidRPr="00601919" w:rsidRDefault="00601919" w:rsidP="00601919">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Theme="minorBidi" w:eastAsia="Times New Roman" w:hAnsiTheme="minorBidi"/>
                <w:color w:val="222222"/>
                <w:sz w:val="24"/>
                <w:szCs w:val="24"/>
                <w:lang w:bidi="ar"/>
              </w:rPr>
            </w:pPr>
            <w:r w:rsidRPr="00601919">
              <w:rPr>
                <w:rFonts w:asciiTheme="minorBidi" w:eastAsia="Times New Roman" w:hAnsiTheme="minorBidi" w:hint="cs"/>
                <w:color w:val="222222"/>
                <w:sz w:val="24"/>
                <w:szCs w:val="24"/>
                <w:rtl/>
                <w:lang w:bidi="ar"/>
              </w:rPr>
              <w:t>يعتبر تشخيص حالة جذر السن عن طريق صورة اشعة وعلاج السن من البكتريا نوع من العلاج الذي لا يرتبط بعمل جراحي ويختص بمعالجة اصابة اللثة ،تهدف هذه العلاجات الى ازالة البكتريا في منطقة اسفل الاسنان وكذلك تحت منطقة اللثة ويتطلب العلاج تنظيف الاسنان ومعالجة جذور الاسنان بالإضافة الى تناول الدواء الخاص بالالتهاب واصابة اللثة.</w:t>
            </w:r>
          </w:p>
          <w:p w:rsidR="00601919" w:rsidRPr="00601919" w:rsidRDefault="00601919" w:rsidP="0060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inorBidi" w:eastAsia="Times New Roman" w:hAnsiTheme="minorBidi"/>
                <w:color w:val="222222"/>
                <w:sz w:val="24"/>
                <w:szCs w:val="24"/>
                <w:rtl/>
                <w:lang w:bidi="ar"/>
              </w:rPr>
            </w:pPr>
          </w:p>
          <w:p w:rsidR="00601919" w:rsidRPr="00601919" w:rsidRDefault="00601919" w:rsidP="00601919">
            <w:pPr>
              <w:rPr>
                <w:rFonts w:asciiTheme="minorBidi" w:eastAsia="Times New Roman" w:hAnsiTheme="minorBidi"/>
                <w:color w:val="222222"/>
                <w:sz w:val="24"/>
                <w:szCs w:val="24"/>
                <w:lang w:bidi="ar"/>
              </w:rPr>
            </w:pPr>
          </w:p>
        </w:tc>
      </w:tr>
      <w:tr w:rsidR="00601919" w:rsidRPr="00601919" w:rsidTr="00FE72F0">
        <w:tc>
          <w:tcPr>
            <w:tcW w:w="5684" w:type="dxa"/>
          </w:tcPr>
          <w:p w:rsidR="00601919" w:rsidRPr="00601919" w:rsidRDefault="00601919" w:rsidP="00601919">
            <w:pPr>
              <w:spacing w:before="8"/>
              <w:ind w:left="720"/>
              <w:rPr>
                <w:rFonts w:ascii="Verdana" w:eastAsia="Verdana" w:hAnsi="Verdana" w:cs="Verdana"/>
                <w:sz w:val="19"/>
                <w:szCs w:val="20"/>
                <w:lang w:bidi="en-US"/>
              </w:rPr>
            </w:pPr>
          </w:p>
          <w:p w:rsidR="00601919" w:rsidRPr="00601919" w:rsidRDefault="00601919" w:rsidP="00601919">
            <w:pPr>
              <w:numPr>
                <w:ilvl w:val="0"/>
                <w:numId w:val="1"/>
              </w:numPr>
              <w:spacing w:line="237" w:lineRule="auto"/>
              <w:ind w:right="122"/>
              <w:rPr>
                <w:rFonts w:ascii="Verdana" w:eastAsia="Verdana" w:hAnsi="Verdana" w:cs="Verdana"/>
                <w:sz w:val="20"/>
                <w:szCs w:val="20"/>
                <w:lang w:bidi="en-US"/>
              </w:rPr>
            </w:pPr>
            <w:r w:rsidRPr="00601919">
              <w:rPr>
                <w:rFonts w:ascii="Verdana" w:eastAsia="Verdana" w:hAnsi="Verdana" w:cs="Verdana"/>
                <w:sz w:val="20"/>
                <w:szCs w:val="20"/>
                <w:lang w:bidi="en-US"/>
              </w:rPr>
              <w:t>Avoid eating and chewing on the treated area for two hours following treatment or until your anesthesia wears off.</w:t>
            </w:r>
          </w:p>
          <w:p w:rsidR="00601919" w:rsidRPr="00601919" w:rsidRDefault="00601919" w:rsidP="00601919">
            <w:pPr>
              <w:spacing w:before="5"/>
              <w:rPr>
                <w:rFonts w:ascii="Verdana" w:eastAsia="Verdana" w:hAnsi="Verdana" w:cs="Verdana"/>
                <w:sz w:val="19"/>
                <w:szCs w:val="20"/>
                <w:lang w:bidi="en-US"/>
              </w:rPr>
            </w:pPr>
          </w:p>
          <w:p w:rsidR="00601919" w:rsidRPr="00601919" w:rsidRDefault="00601919" w:rsidP="00601919">
            <w:pPr>
              <w:rPr>
                <w:rFonts w:asciiTheme="majorBidi" w:eastAsia="Verdana" w:hAnsiTheme="majorBidi" w:cstheme="majorBidi"/>
                <w:sz w:val="32"/>
                <w:szCs w:val="32"/>
                <w:lang w:bidi="ar-AE"/>
              </w:rPr>
            </w:pPr>
          </w:p>
        </w:tc>
        <w:tc>
          <w:tcPr>
            <w:tcW w:w="5395" w:type="dxa"/>
          </w:tcPr>
          <w:p w:rsidR="00601919" w:rsidRPr="00601919" w:rsidRDefault="00601919" w:rsidP="00601919">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Theme="minorBidi" w:eastAsia="Times New Roman" w:hAnsiTheme="minorBidi"/>
                <w:color w:val="222222"/>
                <w:sz w:val="24"/>
                <w:szCs w:val="24"/>
                <w:rtl/>
                <w:lang w:bidi="ar"/>
              </w:rPr>
            </w:pPr>
            <w:r w:rsidRPr="00601919">
              <w:rPr>
                <w:rFonts w:asciiTheme="minorBidi" w:eastAsia="Times New Roman" w:hAnsiTheme="minorBidi" w:hint="cs"/>
                <w:color w:val="222222"/>
                <w:sz w:val="24"/>
                <w:szCs w:val="24"/>
                <w:rtl/>
                <w:lang w:bidi="ar"/>
              </w:rPr>
              <w:t>تجنب</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تناول</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الطعام</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والمضغ</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في</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المنطقة</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المعالجة</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لمدة</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ساعتين</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بعد</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العلاج</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أو</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حتى</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يختفي</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 xml:space="preserve">مفعول </w:t>
            </w:r>
            <w:r w:rsidRPr="00601919">
              <w:rPr>
                <w:rFonts w:asciiTheme="minorBidi" w:eastAsia="Times New Roman" w:hAnsiTheme="minorBidi"/>
                <w:color w:val="222222"/>
                <w:sz w:val="24"/>
                <w:szCs w:val="24"/>
                <w:rtl/>
                <w:lang w:bidi="ar"/>
              </w:rPr>
              <w:t>التخدير.</w:t>
            </w:r>
          </w:p>
          <w:p w:rsidR="00601919" w:rsidRPr="00601919" w:rsidRDefault="00601919" w:rsidP="00601919">
            <w:pPr>
              <w:rPr>
                <w:rFonts w:asciiTheme="majorBidi" w:eastAsia="Verdana" w:hAnsiTheme="majorBidi" w:cstheme="majorBidi"/>
                <w:sz w:val="32"/>
                <w:szCs w:val="32"/>
                <w:lang w:bidi="ar-AE"/>
              </w:rPr>
            </w:pPr>
          </w:p>
        </w:tc>
      </w:tr>
      <w:tr w:rsidR="00601919" w:rsidRPr="00601919" w:rsidTr="00FE72F0">
        <w:tc>
          <w:tcPr>
            <w:tcW w:w="5684" w:type="dxa"/>
          </w:tcPr>
          <w:p w:rsidR="00601919" w:rsidRPr="00601919" w:rsidRDefault="00601919" w:rsidP="00601919">
            <w:pPr>
              <w:numPr>
                <w:ilvl w:val="0"/>
                <w:numId w:val="1"/>
              </w:numPr>
              <w:spacing w:before="1"/>
              <w:rPr>
                <w:rFonts w:ascii="Verdana" w:eastAsia="Verdana" w:hAnsi="Verdana" w:cs="Verdana"/>
                <w:sz w:val="20"/>
                <w:szCs w:val="20"/>
                <w:lang w:bidi="en-US"/>
              </w:rPr>
            </w:pPr>
            <w:r w:rsidRPr="00601919">
              <w:rPr>
                <w:rFonts w:ascii="Verdana" w:eastAsia="Verdana" w:hAnsi="Verdana" w:cs="Verdana"/>
                <w:sz w:val="20"/>
                <w:szCs w:val="20"/>
                <w:lang w:bidi="en-US"/>
              </w:rPr>
              <w:t>Avoid hard foods such as chips, popcorn, and seeds for several days.</w:t>
            </w:r>
          </w:p>
          <w:p w:rsidR="00601919" w:rsidRPr="00601919" w:rsidRDefault="00601919" w:rsidP="00601919">
            <w:pPr>
              <w:rPr>
                <w:rFonts w:asciiTheme="majorBidi" w:eastAsia="Verdana" w:hAnsiTheme="majorBidi" w:cstheme="majorBidi"/>
                <w:sz w:val="32"/>
                <w:szCs w:val="32"/>
                <w:lang w:bidi="ar-AE"/>
              </w:rPr>
            </w:pPr>
          </w:p>
        </w:tc>
        <w:tc>
          <w:tcPr>
            <w:tcW w:w="5395" w:type="dxa"/>
          </w:tcPr>
          <w:p w:rsidR="00601919" w:rsidRPr="00601919" w:rsidRDefault="00601919" w:rsidP="00601919">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Theme="minorBidi" w:eastAsia="Times New Roman" w:hAnsiTheme="minorBidi"/>
                <w:color w:val="222222"/>
                <w:sz w:val="24"/>
                <w:szCs w:val="24"/>
                <w:rtl/>
                <w:lang w:bidi="ar"/>
              </w:rPr>
            </w:pPr>
            <w:r w:rsidRPr="00601919">
              <w:rPr>
                <w:rFonts w:asciiTheme="minorBidi" w:eastAsia="Times New Roman" w:hAnsiTheme="minorBidi" w:hint="cs"/>
                <w:color w:val="222222"/>
                <w:sz w:val="24"/>
                <w:szCs w:val="24"/>
                <w:rtl/>
                <w:lang w:bidi="ar"/>
              </w:rPr>
              <w:t>تجنب</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الأطعمة</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الصلبة</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مثل</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رقائق</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الفشار</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والبذور</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لعدة</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أيام</w:t>
            </w:r>
            <w:r w:rsidRPr="00601919">
              <w:rPr>
                <w:rFonts w:asciiTheme="minorBidi" w:eastAsia="Times New Roman" w:hAnsiTheme="minorBidi"/>
                <w:color w:val="222222"/>
                <w:sz w:val="24"/>
                <w:szCs w:val="24"/>
                <w:rtl/>
                <w:lang w:bidi="ar"/>
              </w:rPr>
              <w:t>.</w:t>
            </w:r>
          </w:p>
          <w:p w:rsidR="00601919" w:rsidRPr="00601919" w:rsidRDefault="00601919" w:rsidP="00601919">
            <w:pPr>
              <w:rPr>
                <w:rFonts w:asciiTheme="majorBidi" w:eastAsia="Verdana" w:hAnsiTheme="majorBidi" w:cstheme="majorBidi"/>
                <w:sz w:val="32"/>
                <w:szCs w:val="32"/>
                <w:lang w:bidi="ar-AE"/>
              </w:rPr>
            </w:pPr>
          </w:p>
        </w:tc>
      </w:tr>
      <w:tr w:rsidR="00601919" w:rsidRPr="00601919" w:rsidTr="00FE72F0">
        <w:tc>
          <w:tcPr>
            <w:tcW w:w="5684" w:type="dxa"/>
          </w:tcPr>
          <w:p w:rsidR="00601919" w:rsidRPr="00601919" w:rsidRDefault="00601919" w:rsidP="00601919">
            <w:pPr>
              <w:numPr>
                <w:ilvl w:val="0"/>
                <w:numId w:val="1"/>
              </w:numPr>
              <w:spacing w:before="1" w:line="237" w:lineRule="auto"/>
              <w:rPr>
                <w:rFonts w:ascii="Verdana" w:eastAsia="Verdana" w:hAnsi="Verdana" w:cs="Verdana"/>
                <w:sz w:val="20"/>
                <w:szCs w:val="20"/>
                <w:lang w:bidi="en-US"/>
              </w:rPr>
            </w:pPr>
            <w:r w:rsidRPr="00601919">
              <w:rPr>
                <w:rFonts w:ascii="Verdana" w:eastAsia="Verdana" w:hAnsi="Verdana" w:cs="Verdana"/>
                <w:sz w:val="20"/>
                <w:szCs w:val="20"/>
                <w:lang w:bidi="en-US"/>
              </w:rPr>
              <w:t>Rinse your mouth two to three times per day with a warm salt water mix. Use one teaspoon of salt to three ounces of water.</w:t>
            </w:r>
          </w:p>
          <w:p w:rsidR="00601919" w:rsidRPr="00601919" w:rsidRDefault="00601919" w:rsidP="00601919">
            <w:pPr>
              <w:spacing w:after="120"/>
              <w:rPr>
                <w:rFonts w:asciiTheme="majorBidi" w:eastAsia="Verdana" w:hAnsiTheme="majorBidi" w:cstheme="majorBidi"/>
                <w:sz w:val="32"/>
                <w:szCs w:val="32"/>
                <w:lang w:bidi="ar-AE"/>
              </w:rPr>
            </w:pPr>
          </w:p>
        </w:tc>
        <w:tc>
          <w:tcPr>
            <w:tcW w:w="5395" w:type="dxa"/>
          </w:tcPr>
          <w:p w:rsidR="00601919" w:rsidRPr="00601919" w:rsidRDefault="00601919" w:rsidP="00601919">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rPr>
                <w:rFonts w:asciiTheme="minorBidi" w:eastAsia="Times New Roman" w:hAnsiTheme="minorBidi"/>
                <w:color w:val="222222"/>
                <w:sz w:val="24"/>
                <w:szCs w:val="24"/>
                <w:rtl/>
                <w:lang w:bidi="ar"/>
              </w:rPr>
            </w:pPr>
            <w:r w:rsidRPr="00601919">
              <w:rPr>
                <w:rFonts w:asciiTheme="minorBidi" w:eastAsia="Times New Roman" w:hAnsiTheme="minorBidi" w:hint="cs"/>
                <w:color w:val="222222"/>
                <w:sz w:val="24"/>
                <w:szCs w:val="24"/>
                <w:rtl/>
                <w:lang w:bidi="ar"/>
              </w:rPr>
              <w:t>اغسل</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فمك</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م</w:t>
            </w:r>
            <w:r w:rsidRPr="00601919">
              <w:rPr>
                <w:rFonts w:asciiTheme="minorBidi" w:eastAsia="Times New Roman" w:hAnsiTheme="minorBidi"/>
                <w:color w:val="222222"/>
                <w:sz w:val="24"/>
                <w:szCs w:val="24"/>
                <w:rtl/>
                <w:lang w:bidi="ar"/>
              </w:rPr>
              <w:t>رتين إلى ثلاث مرات يوميًا بمزيج من الماء المالح الدافئ. استخدم ملعقة صغيرة من الملح إلى ثلاثة أونصات من الماء.</w:t>
            </w:r>
          </w:p>
          <w:p w:rsidR="00601919" w:rsidRPr="00601919" w:rsidRDefault="00601919" w:rsidP="00601919">
            <w:pPr>
              <w:rPr>
                <w:rFonts w:asciiTheme="majorBidi" w:eastAsia="Verdana" w:hAnsiTheme="majorBidi" w:cstheme="majorBidi"/>
                <w:sz w:val="32"/>
                <w:szCs w:val="32"/>
                <w:lang w:bidi="ar-AE"/>
              </w:rPr>
            </w:pPr>
          </w:p>
        </w:tc>
      </w:tr>
      <w:tr w:rsidR="00601919" w:rsidRPr="00601919" w:rsidTr="00FE72F0">
        <w:trPr>
          <w:trHeight w:val="1202"/>
        </w:trPr>
        <w:tc>
          <w:tcPr>
            <w:tcW w:w="5684" w:type="dxa"/>
          </w:tcPr>
          <w:p w:rsidR="00601919" w:rsidRPr="00601919" w:rsidRDefault="00601919" w:rsidP="00601919">
            <w:pPr>
              <w:numPr>
                <w:ilvl w:val="0"/>
                <w:numId w:val="1"/>
              </w:numPr>
              <w:ind w:right="814"/>
              <w:rPr>
                <w:rFonts w:ascii="Verdana" w:eastAsia="Verdana" w:hAnsi="Verdana" w:cs="Verdana"/>
                <w:sz w:val="20"/>
                <w:szCs w:val="20"/>
                <w:lang w:bidi="en-US"/>
              </w:rPr>
            </w:pPr>
            <w:r w:rsidRPr="00601919">
              <w:rPr>
                <w:rFonts w:ascii="Verdana" w:eastAsia="Verdana" w:hAnsi="Verdana" w:cs="Verdana"/>
                <w:sz w:val="20"/>
                <w:szCs w:val="20"/>
                <w:lang w:bidi="en-US"/>
              </w:rPr>
              <w:t xml:space="preserve">Resume your home oral hygiene </w:t>
            </w:r>
            <w:proofErr w:type="spellStart"/>
            <w:r w:rsidRPr="00601919">
              <w:rPr>
                <w:rFonts w:ascii="Verdana" w:eastAsia="Verdana" w:hAnsi="Verdana" w:cs="Verdana"/>
                <w:sz w:val="20"/>
                <w:szCs w:val="20"/>
                <w:lang w:bidi="en-US"/>
              </w:rPr>
              <w:t>routine.Be</w:t>
            </w:r>
            <w:proofErr w:type="spellEnd"/>
            <w:r w:rsidRPr="00601919">
              <w:rPr>
                <w:rFonts w:ascii="Verdana" w:eastAsia="Verdana" w:hAnsi="Verdana" w:cs="Verdana"/>
                <w:sz w:val="20"/>
                <w:szCs w:val="20"/>
                <w:lang w:bidi="en-US"/>
              </w:rPr>
              <w:t xml:space="preserve"> gentle in the area of your treatment. </w:t>
            </w:r>
          </w:p>
        </w:tc>
        <w:tc>
          <w:tcPr>
            <w:tcW w:w="5395" w:type="dxa"/>
          </w:tcPr>
          <w:p w:rsidR="00601919" w:rsidRPr="00601919" w:rsidRDefault="00601919" w:rsidP="00601919">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rPr>
                <w:rFonts w:asciiTheme="minorBidi" w:eastAsia="Times New Roman" w:hAnsiTheme="minorBidi"/>
                <w:color w:val="222222"/>
                <w:sz w:val="24"/>
                <w:szCs w:val="24"/>
                <w:lang w:bidi="ar"/>
              </w:rPr>
            </w:pPr>
            <w:r w:rsidRPr="00601919">
              <w:rPr>
                <w:rFonts w:asciiTheme="minorBidi" w:eastAsia="Times New Roman" w:hAnsiTheme="minorBidi" w:hint="cs"/>
                <w:color w:val="222222"/>
                <w:sz w:val="24"/>
                <w:szCs w:val="24"/>
                <w:rtl/>
                <w:lang w:bidi="ar"/>
              </w:rPr>
              <w:t>استئناف</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روتين</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نظافة الفم في منزلك</w:t>
            </w:r>
            <w:r w:rsidRPr="00601919">
              <w:rPr>
                <w:rFonts w:asciiTheme="minorBidi" w:eastAsia="Times New Roman" w:hAnsiTheme="minorBidi"/>
                <w:color w:val="222222"/>
                <w:sz w:val="24"/>
                <w:szCs w:val="24"/>
                <w:rtl/>
                <w:lang w:bidi="ar"/>
              </w:rPr>
              <w:t xml:space="preserve"> . </w:t>
            </w:r>
            <w:r w:rsidRPr="00601919">
              <w:rPr>
                <w:rFonts w:asciiTheme="minorBidi" w:eastAsia="Times New Roman" w:hAnsiTheme="minorBidi" w:hint="cs"/>
                <w:color w:val="222222"/>
                <w:sz w:val="24"/>
                <w:szCs w:val="24"/>
                <w:rtl/>
                <w:lang w:bidi="ar"/>
              </w:rPr>
              <w:t>واحرص على عدم الضغط على المنطقة المصابة</w:t>
            </w:r>
            <w:r w:rsidRPr="00601919">
              <w:rPr>
                <w:rFonts w:asciiTheme="minorBidi" w:eastAsia="Times New Roman" w:hAnsiTheme="minorBidi"/>
                <w:color w:val="222222"/>
                <w:sz w:val="24"/>
                <w:szCs w:val="24"/>
                <w:rtl/>
                <w:lang w:bidi="ar"/>
              </w:rPr>
              <w:t xml:space="preserve">. </w:t>
            </w:r>
          </w:p>
        </w:tc>
      </w:tr>
      <w:tr w:rsidR="00601919" w:rsidRPr="00601919" w:rsidTr="00FE72F0">
        <w:tc>
          <w:tcPr>
            <w:tcW w:w="5684" w:type="dxa"/>
          </w:tcPr>
          <w:p w:rsidR="00601919" w:rsidRPr="00601919" w:rsidRDefault="00601919" w:rsidP="00601919">
            <w:pPr>
              <w:numPr>
                <w:ilvl w:val="0"/>
                <w:numId w:val="1"/>
              </w:numPr>
              <w:ind w:right="814"/>
              <w:rPr>
                <w:rFonts w:ascii="Verdana" w:eastAsia="Verdana" w:hAnsi="Verdana" w:cs="Verdana"/>
                <w:sz w:val="20"/>
                <w:szCs w:val="20"/>
                <w:lang w:bidi="en-US"/>
              </w:rPr>
            </w:pPr>
            <w:r w:rsidRPr="00601919">
              <w:rPr>
                <w:rFonts w:ascii="Verdana" w:eastAsia="Verdana" w:hAnsi="Verdana" w:cs="Verdana"/>
                <w:sz w:val="20"/>
                <w:szCs w:val="20"/>
                <w:lang w:bidi="en-US"/>
              </w:rPr>
              <w:t>Avoid smoking for 24 to 48 hours after</w:t>
            </w:r>
            <w:r w:rsidRPr="00601919">
              <w:rPr>
                <w:rFonts w:ascii="Verdana" w:eastAsia="Verdana" w:hAnsi="Verdana" w:cs="Verdana"/>
                <w:sz w:val="20"/>
                <w:szCs w:val="20"/>
                <w:rtl/>
                <w:lang w:bidi="en-US"/>
              </w:rPr>
              <w:t xml:space="preserve"> </w:t>
            </w:r>
            <w:r w:rsidRPr="00601919">
              <w:rPr>
                <w:rFonts w:ascii="Verdana" w:eastAsia="Verdana" w:hAnsi="Verdana" w:cs="Verdana"/>
                <w:sz w:val="20"/>
                <w:szCs w:val="20"/>
                <w:lang w:bidi="en-US"/>
              </w:rPr>
              <w:t>your procedure.</w:t>
            </w:r>
          </w:p>
          <w:p w:rsidR="00601919" w:rsidRPr="00601919" w:rsidRDefault="00601919" w:rsidP="00601919">
            <w:pPr>
              <w:spacing w:after="120"/>
              <w:jc w:val="center"/>
              <w:rPr>
                <w:rFonts w:asciiTheme="majorBidi" w:eastAsia="Verdana" w:hAnsiTheme="majorBidi" w:cstheme="majorBidi"/>
                <w:sz w:val="32"/>
                <w:szCs w:val="32"/>
                <w:lang w:bidi="ar-AE"/>
              </w:rPr>
            </w:pPr>
          </w:p>
        </w:tc>
        <w:tc>
          <w:tcPr>
            <w:tcW w:w="5395" w:type="dxa"/>
          </w:tcPr>
          <w:p w:rsidR="00601919" w:rsidRPr="00601919" w:rsidRDefault="00601919" w:rsidP="00601919">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inorBidi" w:eastAsia="Times New Roman" w:hAnsiTheme="minorBidi"/>
                <w:color w:val="222222"/>
                <w:sz w:val="24"/>
                <w:szCs w:val="24"/>
                <w:rtl/>
                <w:lang w:bidi="ar"/>
              </w:rPr>
            </w:pPr>
            <w:r w:rsidRPr="00601919">
              <w:rPr>
                <w:rFonts w:asciiTheme="minorBidi" w:eastAsia="Times New Roman" w:hAnsiTheme="minorBidi" w:hint="cs"/>
                <w:color w:val="222222"/>
                <w:sz w:val="24"/>
                <w:szCs w:val="24"/>
                <w:rtl/>
                <w:lang w:bidi="ar"/>
              </w:rPr>
              <w:t>تجنب</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التدخين</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لمدة</w:t>
            </w:r>
            <w:r w:rsidRPr="00601919">
              <w:rPr>
                <w:rFonts w:asciiTheme="minorBidi" w:eastAsia="Times New Roman" w:hAnsiTheme="minorBidi"/>
                <w:color w:val="222222"/>
                <w:sz w:val="24"/>
                <w:szCs w:val="24"/>
                <w:rtl/>
                <w:lang w:bidi="ar"/>
              </w:rPr>
              <w:t xml:space="preserve"> 24 </w:t>
            </w:r>
            <w:r w:rsidRPr="00601919">
              <w:rPr>
                <w:rFonts w:asciiTheme="minorBidi" w:eastAsia="Times New Roman" w:hAnsiTheme="minorBidi" w:hint="cs"/>
                <w:color w:val="222222"/>
                <w:sz w:val="24"/>
                <w:szCs w:val="24"/>
                <w:rtl/>
                <w:lang w:bidi="ar"/>
              </w:rPr>
              <w:t>إلى</w:t>
            </w:r>
            <w:r w:rsidRPr="00601919">
              <w:rPr>
                <w:rFonts w:asciiTheme="minorBidi" w:eastAsia="Times New Roman" w:hAnsiTheme="minorBidi"/>
                <w:color w:val="222222"/>
                <w:sz w:val="24"/>
                <w:szCs w:val="24"/>
                <w:rtl/>
                <w:lang w:bidi="ar"/>
              </w:rPr>
              <w:t xml:space="preserve"> 48 </w:t>
            </w:r>
            <w:r w:rsidRPr="00601919">
              <w:rPr>
                <w:rFonts w:asciiTheme="minorBidi" w:eastAsia="Times New Roman" w:hAnsiTheme="minorBidi" w:hint="cs"/>
                <w:color w:val="222222"/>
                <w:sz w:val="24"/>
                <w:szCs w:val="24"/>
                <w:rtl/>
                <w:lang w:bidi="ar"/>
              </w:rPr>
              <w:t>ساعة</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بعد</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العملية</w:t>
            </w:r>
            <w:r w:rsidRPr="00601919">
              <w:rPr>
                <w:rFonts w:asciiTheme="minorBidi" w:eastAsia="Times New Roman" w:hAnsiTheme="minorBidi"/>
                <w:color w:val="222222"/>
                <w:sz w:val="24"/>
                <w:szCs w:val="24"/>
                <w:rtl/>
                <w:lang w:bidi="ar"/>
              </w:rPr>
              <w:t>.</w:t>
            </w:r>
          </w:p>
          <w:p w:rsidR="00601919" w:rsidRPr="00601919" w:rsidRDefault="00601919" w:rsidP="00601919">
            <w:pPr>
              <w:rPr>
                <w:rFonts w:asciiTheme="minorBidi" w:eastAsia="Verdana" w:hAnsiTheme="minorBidi"/>
                <w:sz w:val="24"/>
                <w:szCs w:val="24"/>
                <w:rtl/>
                <w:lang w:bidi="ar-AE"/>
              </w:rPr>
            </w:pPr>
          </w:p>
          <w:p w:rsidR="00601919" w:rsidRPr="00601919" w:rsidRDefault="00601919" w:rsidP="00601919">
            <w:pPr>
              <w:spacing w:after="120"/>
              <w:jc w:val="center"/>
              <w:rPr>
                <w:rFonts w:asciiTheme="majorBidi" w:eastAsia="Verdana" w:hAnsiTheme="majorBidi" w:cstheme="majorBidi"/>
                <w:sz w:val="32"/>
                <w:szCs w:val="32"/>
                <w:lang w:bidi="ar-AE"/>
              </w:rPr>
            </w:pPr>
          </w:p>
        </w:tc>
      </w:tr>
      <w:tr w:rsidR="00601919" w:rsidRPr="00601919" w:rsidTr="00FE72F0">
        <w:tc>
          <w:tcPr>
            <w:tcW w:w="5684" w:type="dxa"/>
          </w:tcPr>
          <w:p w:rsidR="00601919" w:rsidRPr="00601919" w:rsidRDefault="00601919" w:rsidP="00601919">
            <w:pPr>
              <w:numPr>
                <w:ilvl w:val="0"/>
                <w:numId w:val="1"/>
              </w:numPr>
              <w:ind w:right="814"/>
              <w:rPr>
                <w:rFonts w:ascii="Verdana" w:eastAsia="Verdana" w:hAnsi="Verdana" w:cs="Verdana"/>
                <w:sz w:val="20"/>
                <w:szCs w:val="20"/>
                <w:lang w:bidi="en-US"/>
              </w:rPr>
            </w:pPr>
            <w:r w:rsidRPr="00601919">
              <w:rPr>
                <w:rFonts w:ascii="Verdana" w:eastAsia="Verdana" w:hAnsi="Verdana" w:cs="Verdana"/>
                <w:sz w:val="20"/>
                <w:szCs w:val="20"/>
                <w:lang w:bidi="en-US"/>
              </w:rPr>
              <w:t>Use a non-aspirin pain reliever (Advil, Tylenol, etc.) according to your medical conditions.</w:t>
            </w:r>
          </w:p>
        </w:tc>
        <w:tc>
          <w:tcPr>
            <w:tcW w:w="5395" w:type="dxa"/>
          </w:tcPr>
          <w:p w:rsidR="00601919" w:rsidRPr="00601919" w:rsidRDefault="00601919" w:rsidP="00601919">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Theme="minorBidi" w:eastAsia="Times New Roman" w:hAnsiTheme="minorBidi"/>
                <w:color w:val="222222"/>
                <w:sz w:val="24"/>
                <w:szCs w:val="24"/>
                <w:rtl/>
                <w:lang w:bidi="ar"/>
              </w:rPr>
            </w:pPr>
            <w:r w:rsidRPr="00601919">
              <w:rPr>
                <w:rFonts w:asciiTheme="minorBidi" w:eastAsia="Times New Roman" w:hAnsiTheme="minorBidi" w:hint="cs"/>
                <w:color w:val="222222"/>
                <w:sz w:val="24"/>
                <w:szCs w:val="24"/>
                <w:rtl/>
                <w:lang w:bidi="ar"/>
              </w:rPr>
              <w:t>استخدم</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مسكن</w:t>
            </w:r>
            <w:r w:rsidRPr="00601919">
              <w:rPr>
                <w:rFonts w:asciiTheme="minorBidi" w:eastAsia="Times New Roman" w:hAnsiTheme="minorBidi"/>
                <w:color w:val="222222"/>
                <w:sz w:val="24"/>
                <w:szCs w:val="24"/>
                <w:rtl/>
                <w:lang w:bidi="ar"/>
              </w:rPr>
              <w:t xml:space="preserve"> للألم غير الأسبرين (أدفيل ، تايلينول ، إلخ) وفقًا لحالتك الطبية.</w:t>
            </w:r>
          </w:p>
          <w:p w:rsidR="00601919" w:rsidRPr="00601919" w:rsidRDefault="00601919" w:rsidP="0060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ind w:left="720"/>
              <w:rPr>
                <w:rFonts w:asciiTheme="majorBidi" w:eastAsia="Verdana" w:hAnsiTheme="majorBidi" w:cstheme="majorBidi"/>
                <w:sz w:val="32"/>
                <w:szCs w:val="32"/>
                <w:lang w:bidi="ar-AE"/>
              </w:rPr>
            </w:pPr>
          </w:p>
        </w:tc>
      </w:tr>
      <w:tr w:rsidR="00601919" w:rsidRPr="00601919" w:rsidTr="00FE72F0">
        <w:trPr>
          <w:trHeight w:val="1103"/>
        </w:trPr>
        <w:tc>
          <w:tcPr>
            <w:tcW w:w="5684" w:type="dxa"/>
          </w:tcPr>
          <w:p w:rsidR="00601919" w:rsidRPr="00601919" w:rsidRDefault="00601919" w:rsidP="00601919">
            <w:pPr>
              <w:numPr>
                <w:ilvl w:val="0"/>
                <w:numId w:val="1"/>
              </w:numPr>
              <w:spacing w:before="13"/>
              <w:rPr>
                <w:rFonts w:ascii="Verdana" w:eastAsia="Verdana" w:hAnsi="Verdana" w:cs="Verdana"/>
                <w:lang w:bidi="en-US"/>
              </w:rPr>
            </w:pPr>
            <w:r w:rsidRPr="00601919">
              <w:rPr>
                <w:rFonts w:ascii="Verdana" w:eastAsia="Verdana" w:hAnsi="Verdana" w:cs="Verdana"/>
                <w:lang w:bidi="en-US"/>
              </w:rPr>
              <w:t>Contact your dentist if you have persistent discomfort or swelling following your procedure</w:t>
            </w:r>
          </w:p>
        </w:tc>
        <w:tc>
          <w:tcPr>
            <w:tcW w:w="5395" w:type="dxa"/>
          </w:tcPr>
          <w:p w:rsidR="00601919" w:rsidRPr="00601919" w:rsidRDefault="00601919" w:rsidP="00601919">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Theme="minorBidi" w:eastAsia="Times New Roman" w:hAnsiTheme="minorBidi"/>
                <w:color w:val="222222"/>
                <w:sz w:val="24"/>
                <w:szCs w:val="24"/>
              </w:rPr>
            </w:pPr>
            <w:r w:rsidRPr="00601919">
              <w:rPr>
                <w:rFonts w:asciiTheme="minorBidi" w:eastAsia="Times New Roman" w:hAnsiTheme="minorBidi" w:hint="cs"/>
                <w:color w:val="222222"/>
                <w:sz w:val="24"/>
                <w:szCs w:val="24"/>
                <w:rtl/>
                <w:lang w:bidi="ar"/>
              </w:rPr>
              <w:t>اتصل</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بطبيب</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الأسنان</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إذا</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كان</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لديك</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إزعاج</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أو</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تورم</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مستمر</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بعد</w:t>
            </w:r>
            <w:r w:rsidRPr="00601919">
              <w:rPr>
                <w:rFonts w:asciiTheme="minorBidi" w:eastAsia="Times New Roman" w:hAnsiTheme="minorBidi"/>
                <w:color w:val="222222"/>
                <w:sz w:val="24"/>
                <w:szCs w:val="24"/>
                <w:rtl/>
                <w:lang w:bidi="ar"/>
              </w:rPr>
              <w:t xml:space="preserve"> </w:t>
            </w:r>
            <w:r w:rsidRPr="00601919">
              <w:rPr>
                <w:rFonts w:asciiTheme="minorBidi" w:eastAsia="Times New Roman" w:hAnsiTheme="minorBidi" w:hint="cs"/>
                <w:color w:val="222222"/>
                <w:sz w:val="24"/>
                <w:szCs w:val="24"/>
                <w:rtl/>
                <w:lang w:bidi="ar"/>
              </w:rPr>
              <w:t>العمليلة.</w:t>
            </w:r>
          </w:p>
          <w:p w:rsidR="00601919" w:rsidRPr="00601919" w:rsidRDefault="00601919" w:rsidP="00601919">
            <w:pPr>
              <w:rPr>
                <w:rFonts w:ascii="Verdana" w:eastAsia="Verdana" w:hAnsi="Verdana" w:cs="Verdana"/>
                <w:lang w:bidi="en-US"/>
              </w:rPr>
            </w:pPr>
          </w:p>
        </w:tc>
      </w:tr>
    </w:tbl>
    <w:p w:rsidR="00020D85" w:rsidRDefault="00384AE3">
      <w:pPr>
        <w:rPr>
          <w:lang w:bidi="ar-AE"/>
        </w:rPr>
      </w:pPr>
    </w:p>
    <w:sectPr w:rsidR="00020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229F9"/>
    <w:multiLevelType w:val="hybridMultilevel"/>
    <w:tmpl w:val="176CE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919"/>
    <w:rsid w:val="00115A18"/>
    <w:rsid w:val="00384AE3"/>
    <w:rsid w:val="00601919"/>
    <w:rsid w:val="00DE55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737E3-A7F4-4223-A9D0-A2652042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1919"/>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Albalsam</dc:creator>
  <cp:keywords/>
  <dc:description/>
  <cp:lastModifiedBy>Mohamed Ramadan</cp:lastModifiedBy>
  <cp:revision>2</cp:revision>
  <dcterms:created xsi:type="dcterms:W3CDTF">2019-11-27T10:14:00Z</dcterms:created>
  <dcterms:modified xsi:type="dcterms:W3CDTF">2019-11-27T10:14:00Z</dcterms:modified>
</cp:coreProperties>
</file>