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016"/>
        <w:gridCol w:w="21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16" w:type="dxa"/>
          </w:tcPr>
          <w:p w:rsidR="00000000" w:rsidRDefault="00D074D6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t>ZERR Angelo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24 rue Gabillot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69003 LYON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Tél : 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Portable : </w:t>
            </w:r>
          </w:p>
          <w:p w:rsidR="00000000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 xml:space="preserve">E-mail : </w:t>
            </w:r>
            <w:r>
              <w:rPr>
                <w:rFonts w:ascii="Book Antiqua" w:hAnsi="Book Antiqua"/>
                <w:sz w:val="24"/>
              </w:rPr>
              <w:fldChar w:fldCharType="begin"/>
            </w:r>
            <w:r>
              <w:rPr>
                <w:rFonts w:ascii="Book Antiqua" w:hAnsi="Book Antiqua"/>
                <w:sz w:val="24"/>
                <w:lang w:val="de-DE"/>
              </w:rPr>
              <w:instrText>HYPERLINK "mailto:angelo_zerr@yahoo.fr"</w:instrText>
            </w:r>
            <w:r>
              <w:rPr>
                <w:rFonts w:ascii="Book Antiqua" w:hAnsi="Book Antiqua"/>
                <w:sz w:val="24"/>
              </w:rPr>
            </w:r>
            <w:r>
              <w:rPr>
                <w:rFonts w:ascii="Book Antiqua" w:hAnsi="Book Antiqua"/>
                <w:sz w:val="24"/>
              </w:rPr>
              <w:fldChar w:fldCharType="separate"/>
            </w:r>
            <w:r>
              <w:rPr>
                <w:rStyle w:val="Lienhypertexte"/>
                <w:rFonts w:ascii="Book Antiqua" w:hAnsi="Book Antiqua"/>
                <w:sz w:val="24"/>
                <w:lang w:val="de-DE"/>
              </w:rPr>
              <w:t>angelo_zerr@yahoo.fr</w:t>
            </w:r>
            <w:r>
              <w:rPr>
                <w:rFonts w:ascii="Book Antiqua" w:hAnsi="Book Antiqua"/>
                <w:sz w:val="24"/>
              </w:rPr>
              <w:fldChar w:fldCharType="end"/>
            </w:r>
          </w:p>
        </w:tc>
        <w:tc>
          <w:tcPr>
            <w:tcW w:w="2196" w:type="dxa"/>
          </w:tcPr>
          <w:p w:rsidR="00000000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>Né le 24/02/1977</w:t>
            </w:r>
          </w:p>
          <w:p w:rsidR="00000000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>Nationalité : française</w:t>
            </w:r>
          </w:p>
        </w:tc>
      </w:tr>
    </w:tbl>
    <w:p w:rsidR="00000000" w:rsidRDefault="00D074D6">
      <w:pPr>
        <w:rPr>
          <w:rFonts w:ascii="Book Antiqua" w:hAnsi="Book Antiqua"/>
          <w:sz w:val="24"/>
          <w:lang w:val="de-DE"/>
        </w:rPr>
      </w:pPr>
    </w:p>
    <w:p w:rsidR="00000000" w:rsidRDefault="00D074D6">
      <w:pPr>
        <w:rPr>
          <w:rFonts w:ascii="Book Antiqua" w:hAnsi="Book Antiqua"/>
          <w:sz w:val="24"/>
          <w:lang w:val="de-DE"/>
        </w:rPr>
      </w:pPr>
    </w:p>
    <w:p w:rsidR="00000000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000000" w:rsidRDefault="00D074D6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71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1996  - 2001 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Ingénieur en Informatique INSA Lyon.</w:t>
            </w:r>
          </w:p>
        </w:tc>
      </w:tr>
    </w:tbl>
    <w:p w:rsidR="00000000" w:rsidRDefault="00D074D6">
      <w:pPr>
        <w:rPr>
          <w:rFonts w:ascii="Book Antiqua" w:hAnsi="Book Antiqua"/>
          <w:sz w:val="24"/>
        </w:rPr>
      </w:pPr>
    </w:p>
    <w:p w:rsidR="00000000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000000" w:rsidRDefault="00D074D6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Languages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Java, XML, XSL, Velocity, SOAP, ANT, ASPX, C#, ASP, C++</w:t>
            </w:r>
            <w:proofErr w:type="gramStart"/>
            <w:r>
              <w:rPr>
                <w:rFonts w:ascii="Book Antiqua" w:hAnsi="Book Antiqua"/>
                <w:sz w:val="24"/>
                <w:lang w:val="en-GB"/>
              </w:rPr>
              <w:t>,PL</w:t>
            </w:r>
            <w:proofErr w:type="gramEnd"/>
            <w:r>
              <w:rPr>
                <w:rFonts w:ascii="Book Antiqua" w:hAnsi="Book Antiqua"/>
                <w:sz w:val="24"/>
                <w:lang w:val="en-GB"/>
              </w:rPr>
              <w:t>/SQL.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Outils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JBuilder, Visual Studio .Net, WebSphere.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Framework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Struts, JSF, Velocity, EJB, Hibernate, .Net, Web Services</w:t>
            </w:r>
            <w:r>
              <w:rPr>
                <w:rFonts w:ascii="Book Antiqua" w:hAnsi="Book Antiqua"/>
                <w:sz w:val="24"/>
                <w:lang w:val="en-GB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Serveur Application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Websphere 5.0, Tomcat 4.0, Weblogic.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SGBD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SQL Server, Oracle 8i, Sybase ASE, MySQL.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Méthodes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: UML, Merise.</w:t>
            </w:r>
          </w:p>
        </w:tc>
      </w:tr>
    </w:tbl>
    <w:p w:rsidR="00000000" w:rsidRDefault="00D074D6">
      <w:pPr>
        <w:rPr>
          <w:rFonts w:ascii="Book Antiqua" w:hAnsi="Book Antiqua"/>
          <w:sz w:val="24"/>
        </w:rPr>
      </w:pPr>
    </w:p>
    <w:p w:rsidR="00000000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Expériences professionnelles (Missions chez </w:t>
      </w:r>
      <w:proofErr w:type="spellStart"/>
      <w:r>
        <w:rPr>
          <w:b w:val="0"/>
          <w:bCs w:val="0"/>
          <w:color w:val="333333"/>
          <w:sz w:val="24"/>
        </w:rPr>
        <w:t>Wyniwyg</w:t>
      </w:r>
      <w:proofErr w:type="spellEnd"/>
      <w:r>
        <w:rPr>
          <w:b w:val="0"/>
          <w:bCs w:val="0"/>
          <w:color w:val="333333"/>
          <w:sz w:val="24"/>
        </w:rPr>
        <w:t xml:space="preserve"> depuis 3 ans)</w:t>
      </w:r>
    </w:p>
    <w:p w:rsidR="00000000" w:rsidRDefault="00D074D6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Septembre-Décembre 2004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t xml:space="preserve">EDF BRHM </w:t>
            </w:r>
            <w:proofErr w:type="spellStart"/>
            <w:r>
              <w:rPr>
                <w:sz w:val="24"/>
              </w:rPr>
              <w:t>Informatica</w:t>
            </w:r>
            <w:proofErr w:type="spellEnd"/>
            <w:r>
              <w:rPr>
                <w:sz w:val="24"/>
              </w:rPr>
              <w:t xml:space="preserve"> &amp; AN</w:t>
            </w:r>
            <w:r>
              <w:rPr>
                <w:sz w:val="24"/>
              </w:rPr>
              <w:t>T, Lyon</w:t>
            </w:r>
          </w:p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Migration des données de l’ancien système vers le nouveau système (base Oracle 8i). L’ETL </w:t>
            </w:r>
            <w:proofErr w:type="spellStart"/>
            <w:r>
              <w:rPr>
                <w:rFonts w:ascii="Book Antiqua" w:hAnsi="Book Antiqua"/>
                <w:sz w:val="24"/>
              </w:rPr>
              <w:t>Informatica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, les procédures stockées (PL/SQL), et ANT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Avril-Août 2004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t xml:space="preserve">EDF Intranet BRHM </w:t>
            </w:r>
            <w:proofErr w:type="spellStart"/>
            <w:r>
              <w:rPr>
                <w:sz w:val="24"/>
              </w:rPr>
              <w:t>Struts</w:t>
            </w:r>
            <w:proofErr w:type="spellEnd"/>
            <w:r>
              <w:rPr>
                <w:sz w:val="24"/>
              </w:rPr>
              <w:t>, Lyon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Réalisation de l’application WEB BRHM gérant les entrée</w:t>
            </w:r>
            <w:r>
              <w:rPr>
                <w:rFonts w:ascii="Book Antiqua" w:hAnsi="Book Antiqua"/>
                <w:sz w:val="24"/>
              </w:rPr>
              <w:t xml:space="preserve">s/sorties des personnes dans les centrales Nucléaires. Cette application s’appuie sur le </w:t>
            </w:r>
            <w:proofErr w:type="spellStart"/>
            <w:r>
              <w:rPr>
                <w:rFonts w:ascii="Book Antiqua" w:hAnsi="Book Antiqua"/>
                <w:sz w:val="24"/>
              </w:rPr>
              <w:t>framework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Java STRUTS, les EJB 2.0 et Oracle 8i.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Janvier-Mars 2004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t>OGC Java, Lyon</w:t>
            </w:r>
          </w:p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Spécification, Conception et réalisation d’un outil de génération de code d’applicat</w:t>
            </w:r>
            <w:r>
              <w:rPr>
                <w:rFonts w:ascii="Book Antiqua" w:hAnsi="Book Antiqua"/>
                <w:sz w:val="24"/>
              </w:rPr>
              <w:t xml:space="preserve">ion WEB (Java </w:t>
            </w:r>
            <w:proofErr w:type="spellStart"/>
            <w:r>
              <w:rPr>
                <w:rFonts w:ascii="Book Antiqua" w:hAnsi="Book Antiqua"/>
                <w:sz w:val="24"/>
              </w:rPr>
              <w:t>Struts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, ASP, PHP…) en s’appuyant sur les méta-données d’une base (Oracle, SQL Server…). Le fonctionnement d’OGC se trouve sur </w:t>
            </w:r>
            <w:hyperlink r:id="rId5" w:tgtFrame="_blank" w:history="1">
              <w:r>
                <w:rPr>
                  <w:rStyle w:val="Lienhypertexte"/>
                  <w:rFonts w:ascii="Book Antiqua" w:hAnsi="Book Antiqua"/>
                  <w:sz w:val="24"/>
                  <w:lang w:val="fr-CH"/>
                </w:rPr>
                <w:t>http://ogctool.sourceforge.net/</w:t>
              </w:r>
            </w:hyperlink>
            <w:r>
              <w:rPr>
                <w:rFonts w:ascii="Book Antiqua" w:hAnsi="Book Antiqua"/>
                <w:sz w:val="24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Septembre-Décembre 200</w:t>
            </w:r>
            <w:r>
              <w:rPr>
                <w:rFonts w:ascii="Book Antiqua" w:hAnsi="Book Antiqua"/>
                <w:i/>
                <w:iCs/>
                <w:sz w:val="24"/>
              </w:rPr>
              <w:t>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CCIP MapInfo ASP, Lyon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-Réalisation du portail </w:t>
            </w:r>
            <w:proofErr w:type="spellStart"/>
            <w:r>
              <w:rPr>
                <w:rFonts w:ascii="Book Antiqua" w:hAnsi="Book Antiqua"/>
                <w:sz w:val="24"/>
              </w:rPr>
              <w:t>géomatique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de la CCIP. Cet Intranet permet la visualisation des informations statistiques de la CCIP (taux de chômage, population) en les recoupant avec une base de données géographique. Les données géograph</w:t>
            </w:r>
            <w:r>
              <w:rPr>
                <w:rFonts w:ascii="Book Antiqua" w:hAnsi="Book Antiqua"/>
                <w:sz w:val="24"/>
              </w:rPr>
              <w:t xml:space="preserve">iques s'appuient sur le composant </w:t>
            </w:r>
            <w:proofErr w:type="spellStart"/>
            <w:r>
              <w:rPr>
                <w:rFonts w:ascii="Book Antiqua" w:hAnsi="Book Antiqua"/>
                <w:sz w:val="24"/>
              </w:rPr>
              <w:t>MapXtreme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de </w:t>
            </w:r>
            <w:proofErr w:type="spellStart"/>
            <w:r>
              <w:rPr>
                <w:rFonts w:ascii="Book Antiqua" w:hAnsi="Book Antiqua"/>
                <w:sz w:val="24"/>
              </w:rPr>
              <w:t>MapInfo</w:t>
            </w:r>
            <w:proofErr w:type="spellEnd"/>
            <w:r>
              <w:rPr>
                <w:rFonts w:ascii="Book Antiqua" w:hAnsi="Book Antiqua"/>
                <w:sz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Juin- Août 2003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2"/>
              <w:rPr>
                <w:bCs w:val="0"/>
                <w:sz w:val="24"/>
                <w:lang w:val="de-DE"/>
              </w:rPr>
            </w:pPr>
            <w:r>
              <w:rPr>
                <w:bCs w:val="0"/>
                <w:sz w:val="24"/>
                <w:lang w:val="de-DE"/>
              </w:rPr>
              <w:t xml:space="preserve">FFT </w:t>
            </w:r>
            <w:proofErr w:type="spellStart"/>
            <w:r>
              <w:rPr>
                <w:bCs w:val="0"/>
                <w:sz w:val="24"/>
                <w:lang w:val="de-DE"/>
              </w:rPr>
              <w:t>Struts</w:t>
            </w:r>
            <w:proofErr w:type="spellEnd"/>
            <w:r>
              <w:rPr>
                <w:bCs w:val="0"/>
                <w:sz w:val="24"/>
                <w:lang w:val="de-DE"/>
              </w:rPr>
              <w:t xml:space="preserve"> Minitel, Lyon</w:t>
            </w:r>
          </w:p>
          <w:p w:rsidR="00000000" w:rsidRDefault="00D074D6">
            <w:pPr>
              <w:pStyle w:val="Corpsdetexte"/>
              <w:spacing w:before="20" w:after="20"/>
              <w:ind w:left="0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lastRenderedPageBreak/>
              <w:t xml:space="preserve">-Réalisation d’une Application Web de gestions des tournois s’appuyant sur le </w:t>
            </w:r>
            <w:proofErr w:type="spellStart"/>
            <w:r>
              <w:rPr>
                <w:rFonts w:ascii="Book Antiqua" w:hAnsi="Book Antiqua"/>
                <w:sz w:val="24"/>
              </w:rPr>
              <w:t>framework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STRUTS. </w:t>
            </w:r>
          </w:p>
          <w:p w:rsidR="00000000" w:rsidRDefault="00D074D6">
            <w:pPr>
              <w:rPr>
                <w:lang w:val="fr-CH"/>
              </w:rPr>
            </w:pPr>
            <w:r>
              <w:rPr>
                <w:rFonts w:ascii="Book Antiqua" w:hAnsi="Book Antiqua"/>
                <w:sz w:val="24"/>
              </w:rPr>
              <w:t>Le langage VTXML (XML + XSL) a été utilisé pour rendre opérat</w:t>
            </w:r>
            <w:r>
              <w:rPr>
                <w:rFonts w:ascii="Book Antiqua" w:hAnsi="Book Antiqua"/>
                <w:sz w:val="24"/>
              </w:rPr>
              <w:t>ionnel l’application Web sur Minitel.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lastRenderedPageBreak/>
              <w:t xml:space="preserve">Novembre 2002 – </w:t>
            </w:r>
          </w:p>
          <w:p w:rsidR="00000000" w:rsidRDefault="00D074D6">
            <w:pPr>
              <w:rPr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 xml:space="preserve">Mai  2003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pStyle w:val="Titre3"/>
            </w:pPr>
            <w:proofErr w:type="spellStart"/>
            <w:r>
              <w:t>Bugless</w:t>
            </w:r>
            <w:proofErr w:type="spellEnd"/>
            <w:r>
              <w:t xml:space="preserve"> </w:t>
            </w:r>
            <w:proofErr w:type="spellStart"/>
            <w:r>
              <w:t>Struts</w:t>
            </w:r>
            <w:proofErr w:type="spellEnd"/>
            <w:r>
              <w:t>, Lyon</w:t>
            </w:r>
          </w:p>
          <w:p w:rsidR="00000000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Conception, réalisation, maintenance d'une </w:t>
            </w:r>
            <w:proofErr w:type="spellStart"/>
            <w:r>
              <w:rPr>
                <w:rFonts w:ascii="Book Antiqua" w:hAnsi="Book Antiqua"/>
                <w:sz w:val="24"/>
              </w:rPr>
              <w:t>webapp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de suivi de projet, incluant un module de gestion des dysfonctionnements, un module de gestion des tâches d'un projet </w:t>
            </w:r>
            <w:r>
              <w:rPr>
                <w:rFonts w:ascii="Book Antiqua" w:hAnsi="Book Antiqua"/>
                <w:sz w:val="24"/>
              </w:rPr>
              <w:t xml:space="preserve">et un module de gestion documentaire. Cette </w:t>
            </w:r>
            <w:proofErr w:type="spellStart"/>
            <w:r>
              <w:rPr>
                <w:rFonts w:ascii="Book Antiqua" w:hAnsi="Book Antiqua"/>
                <w:sz w:val="24"/>
              </w:rPr>
              <w:t>webapp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repose sur le </w:t>
            </w:r>
            <w:proofErr w:type="spellStart"/>
            <w:r>
              <w:rPr>
                <w:rFonts w:ascii="Book Antiqua" w:hAnsi="Book Antiqua"/>
                <w:sz w:val="24"/>
              </w:rPr>
              <w:t>framework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STRUTS, respectant une architecture type </w:t>
            </w:r>
            <w:proofErr w:type="gramStart"/>
            <w:r>
              <w:rPr>
                <w:rFonts w:ascii="Book Antiqua" w:hAnsi="Book Antiqua"/>
                <w:sz w:val="24"/>
              </w:rPr>
              <w:t>MVC2 .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Juillet-Octobre 2002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4"/>
                <w:lang w:val="en-GB"/>
              </w:rPr>
              <w:t>CETE Web Service WSADS, Lyon</w:t>
            </w:r>
          </w:p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fr-CH"/>
              </w:rPr>
            </w:pPr>
            <w:r>
              <w:rPr>
                <w:rFonts w:ascii="Book Antiqua" w:hAnsi="Book Antiqua"/>
                <w:sz w:val="24"/>
              </w:rPr>
              <w:t xml:space="preserve">Conception et développement d’un prototype de </w:t>
            </w:r>
            <w:proofErr w:type="spellStart"/>
            <w:r>
              <w:rPr>
                <w:rFonts w:ascii="Book Antiqua" w:hAnsi="Book Antiqua"/>
                <w:sz w:val="24"/>
              </w:rPr>
              <w:t>WebService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dans le cadre de la refon</w:t>
            </w:r>
            <w:r>
              <w:rPr>
                <w:rFonts w:ascii="Book Antiqua" w:hAnsi="Book Antiqua"/>
                <w:sz w:val="24"/>
              </w:rPr>
              <w:t>te des applications nationales du ministère initiée par un projet de dématérialisation.-</w:t>
            </w:r>
            <w:r>
              <w:rPr>
                <w:rFonts w:ascii="Book Antiqua" w:hAnsi="Book Antiqua"/>
                <w:sz w:val="24"/>
              </w:rPr>
              <w:tab/>
              <w:t>Mise en évidence les contraintes techniques, budgétaires et organisationnelles liées à l’architecture logicielle retenue (</w:t>
            </w:r>
            <w:proofErr w:type="spellStart"/>
            <w:r>
              <w:rPr>
                <w:rFonts w:ascii="Book Antiqua" w:hAnsi="Book Antiqua"/>
                <w:sz w:val="24"/>
              </w:rPr>
              <w:t>WebService</w:t>
            </w:r>
            <w:proofErr w:type="spellEnd"/>
            <w:r>
              <w:rPr>
                <w:rFonts w:ascii="Book Antiqua" w:hAnsi="Book Antiqua"/>
                <w:sz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  <w:lang w:val="en-GB"/>
              </w:rPr>
            </w:pPr>
            <w:proofErr w:type="spellStart"/>
            <w:r>
              <w:rPr>
                <w:rFonts w:ascii="Book Antiqua" w:hAnsi="Book Antiqua"/>
                <w:i/>
                <w:iCs/>
                <w:sz w:val="24"/>
                <w:lang w:val="en-GB"/>
              </w:rPr>
              <w:t>Avril-Juin</w:t>
            </w:r>
            <w:proofErr w:type="spellEnd"/>
            <w:r>
              <w:rPr>
                <w:rFonts w:ascii="Book Antiqua" w:hAnsi="Book Antiqua"/>
                <w:i/>
                <w:iCs/>
                <w:sz w:val="24"/>
                <w:lang w:val="en-GB"/>
              </w:rPr>
              <w:t xml:space="preserve"> 2002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 w:cs="Arial"/>
                <w:b/>
                <w:bCs/>
                <w:sz w:val="24"/>
                <w:szCs w:val="16"/>
                <w:lang w:val="en-GB"/>
              </w:rPr>
            </w:pPr>
            <w:r>
              <w:rPr>
                <w:rFonts w:ascii="Book Antiqua" w:hAnsi="Book Antiqua" w:cs="Arial"/>
                <w:b/>
                <w:bCs/>
                <w:sz w:val="24"/>
                <w:szCs w:val="16"/>
                <w:lang w:val="en-GB"/>
              </w:rPr>
              <w:t>Web Service BO (</w:t>
            </w:r>
            <w:r>
              <w:rPr>
                <w:rFonts w:ascii="Book Antiqua" w:hAnsi="Book Antiqua" w:cs="Arial"/>
                <w:b/>
                <w:bCs/>
                <w:sz w:val="24"/>
                <w:szCs w:val="16"/>
                <w:lang w:val="en-GB"/>
              </w:rPr>
              <w:t>Business Object SDK), Lyon</w:t>
            </w:r>
          </w:p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-Test des fonctionnalités du Web Service BO dans l'environnement .Net. Le test s'est concrétisé par un site développé en ASP.Net et un en C# qui utilise toutes les fonctionnalités BO fournies par le Web Service (générer un docume</w:t>
            </w:r>
            <w:r>
              <w:rPr>
                <w:rFonts w:ascii="Book Antiqua" w:hAnsi="Book Antiqua"/>
                <w:sz w:val="24"/>
              </w:rPr>
              <w:t>nt, drill…).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Décembre 2001 –</w:t>
            </w:r>
          </w:p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 xml:space="preserve">Mars 2002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b/>
                <w:bCs/>
                <w:sz w:val="24"/>
              </w:rPr>
              <w:t xml:space="preserve">Norbert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</w:rPr>
              <w:t>Dentressangle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</w:rPr>
              <w:t>, Lyon</w:t>
            </w:r>
          </w:p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-Passer l'application existante (AS400) de gestion des transports de ND en client/serveur (VB 6). Développer de nouvelles fonctionnalités.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Septembre -Novembre 2001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b/>
                <w:bCs/>
                <w:sz w:val="24"/>
              </w:rPr>
              <w:t>SOITEC, Lyon</w:t>
            </w:r>
            <w:r>
              <w:rPr>
                <w:rFonts w:ascii="Book Antiqua" w:hAnsi="Book Antiqua"/>
                <w:sz w:val="24"/>
              </w:rPr>
              <w:t>.</w:t>
            </w:r>
          </w:p>
          <w:p w:rsidR="00000000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-Réalisa</w:t>
            </w:r>
            <w:r>
              <w:rPr>
                <w:rFonts w:ascii="Book Antiqua" w:hAnsi="Book Antiqua"/>
                <w:sz w:val="24"/>
              </w:rPr>
              <w:t>tion du site extranet SOITEC autour de WEBI.  Cet extranet permet de mettre à disposition les informations des produits que l'entreprise créée, pour que ses clients (IBM…) puissent les visualiser à l'aide d'un navigateur WEB.</w:t>
            </w:r>
          </w:p>
        </w:tc>
      </w:tr>
    </w:tbl>
    <w:p w:rsidR="00000000" w:rsidRDefault="00D074D6">
      <w:pPr>
        <w:rPr>
          <w:rFonts w:ascii="Book Antiqua" w:hAnsi="Book Antiqua"/>
          <w:sz w:val="24"/>
        </w:rPr>
      </w:pPr>
    </w:p>
    <w:p w:rsidR="00000000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Langues</w:t>
      </w:r>
    </w:p>
    <w:p w:rsidR="00000000" w:rsidRDefault="00D074D6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Anglais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Lu, Parl</w:t>
            </w:r>
            <w:r>
              <w:rPr>
                <w:rFonts w:ascii="Book Antiqua" w:hAnsi="Book Antiqua"/>
                <w:sz w:val="24"/>
              </w:rPr>
              <w:t>é, Ecrit (Technique).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Allemand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Lu, Parlé, Ecrit.</w:t>
            </w:r>
          </w:p>
        </w:tc>
      </w:tr>
    </w:tbl>
    <w:p w:rsidR="00000000" w:rsidRDefault="00D074D6">
      <w:pPr>
        <w:rPr>
          <w:rFonts w:ascii="Book Antiqua" w:hAnsi="Book Antiqua"/>
          <w:sz w:val="24"/>
        </w:rPr>
      </w:pPr>
    </w:p>
    <w:p w:rsidR="00000000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Informations complémentaires</w:t>
      </w:r>
    </w:p>
    <w:p w:rsidR="00000000" w:rsidRDefault="00D074D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Sport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Badminton.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Musique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pratique la batterie dans un groupe.</w:t>
            </w:r>
          </w:p>
        </w:tc>
      </w:tr>
    </w:tbl>
    <w:p w:rsidR="00D074D6" w:rsidRDefault="00D074D6">
      <w:pPr>
        <w:rPr>
          <w:sz w:val="24"/>
        </w:rPr>
      </w:pPr>
    </w:p>
    <w:sectPr w:rsidR="00D0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Bart">
    <w:charset w:val="00"/>
    <w:family w:val="auto"/>
    <w:pitch w:val="variable"/>
    <w:sig w:usb0="00000003" w:usb1="00000000" w:usb2="00000000" w:usb3="00000000" w:csb0="00000001" w:csb1="00000000"/>
  </w:font>
  <w:font w:name="Simpso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829"/>
    <w:multiLevelType w:val="multilevel"/>
    <w:tmpl w:val="40A2FAC6"/>
    <w:lvl w:ilvl="0">
      <w:start w:val="1"/>
      <w:numFmt w:val="decimal"/>
      <w:pStyle w:val="titre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noPunctuationKerning/>
  <w:characterSpacingControl w:val="doNotCompress"/>
  <w:compat/>
  <w:rsids>
    <w:rsidRoot w:val="007A2A8A"/>
    <w:rsid w:val="007A2A8A"/>
    <w:rsid w:val="00D0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</w:rPr>
  </w:style>
  <w:style w:type="paragraph" w:styleId="Titre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Book Antiqua" w:hAnsi="Book Antiqua"/>
      <w:b/>
      <w:bCs/>
      <w:sz w:val="2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Book Antiqua" w:hAnsi="Book Antiqua"/>
      <w:b/>
      <w:bCs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Broadway BT" w:hAnsi="Broadway BT"/>
      <w:b/>
      <w:bCs/>
      <w:shadow/>
      <w:color w:val="99CC00"/>
      <w:kern w:val="28"/>
      <w:sz w:val="36"/>
      <w:szCs w:val="32"/>
    </w:rPr>
  </w:style>
  <w:style w:type="paragraph" w:customStyle="1" w:styleId="soustitres">
    <w:name w:val="sous titres"/>
    <w:basedOn w:val="Normal"/>
    <w:rPr>
      <w:rFonts w:ascii="Bart" w:hAnsi="Bart"/>
      <w:shadow/>
      <w:color w:val="FF99CC"/>
      <w:sz w:val="44"/>
      <w:u w:val="thick"/>
    </w:rPr>
  </w:style>
  <w:style w:type="paragraph" w:customStyle="1" w:styleId="pieddepage">
    <w:name w:val="pied de page"/>
    <w:basedOn w:val="Normal"/>
    <w:rPr>
      <w:rFonts w:ascii="Simpson" w:hAnsi="Simpson"/>
      <w:emboss/>
      <w:color w:val="808080"/>
      <w:sz w:val="36"/>
    </w:rPr>
  </w:style>
  <w:style w:type="paragraph" w:customStyle="1" w:styleId="prsentation">
    <w:name w:val="présentation"/>
    <w:basedOn w:val="Normal"/>
    <w:rPr>
      <w:rFonts w:ascii="Bart" w:hAnsi="Bart"/>
      <w:b/>
      <w:i/>
      <w:shadow/>
      <w:color w:val="0000FF"/>
      <w:sz w:val="144"/>
      <w:u w:val="single" w:color="FFFF99"/>
      <w:vertAlign w:val="subscript"/>
    </w:rPr>
  </w:style>
  <w:style w:type="paragraph" w:customStyle="1" w:styleId="titres">
    <w:name w:val="titres"/>
    <w:basedOn w:val="Normal"/>
    <w:next w:val="Normal"/>
    <w:pPr>
      <w:numPr>
        <w:numId w:val="1"/>
      </w:numPr>
    </w:pPr>
    <w:rPr>
      <w:rFonts w:ascii="Bart" w:hAnsi="Bart"/>
      <w:shadow/>
      <w:color w:val="99FF66"/>
      <w:sz w:val="52"/>
      <w:u w:val="thick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Corpsdetexte">
    <w:name w:val="Body Text"/>
    <w:basedOn w:val="Normal"/>
    <w:semiHidden/>
    <w:pPr>
      <w:spacing w:after="120"/>
      <w:ind w:left="284"/>
    </w:pPr>
    <w:rPr>
      <w:rFonts w:ascii="Arial" w:hAnsi="Arial"/>
      <w:sz w:val="20"/>
    </w:rPr>
  </w:style>
  <w:style w:type="paragraph" w:styleId="Corpsdetexte2">
    <w:name w:val="Body Text 2"/>
    <w:basedOn w:val="Normal"/>
    <w:semiHidden/>
    <w:rPr>
      <w:rFonts w:ascii="Book Antiqua" w:hAnsi="Book Antiqua"/>
      <w:sz w:val="24"/>
    </w:rPr>
  </w:style>
  <w:style w:type="paragraph" w:customStyle="1" w:styleId="tableau">
    <w:name w:val="tableau"/>
    <w:basedOn w:val="Normal"/>
    <w:rPr>
      <w:b/>
    </w:rPr>
  </w:style>
  <w:style w:type="paragraph" w:customStyle="1" w:styleId="soussoustitres">
    <w:name w:val="sous sous titres"/>
    <w:basedOn w:val="soustitres"/>
    <w:rPr>
      <w:color w:val="99CCFF"/>
      <w:sz w:val="36"/>
      <w:u w:val="single"/>
    </w:rPr>
  </w:style>
  <w:style w:type="paragraph" w:customStyle="1" w:styleId="sommaire">
    <w:name w:val="sommaire"/>
    <w:basedOn w:val="Normal"/>
    <w:pPr>
      <w:ind w:left="708"/>
    </w:pPr>
    <w:rPr>
      <w:color w:val="EC1495"/>
      <w:sz w:val="72"/>
      <w:u w:val="wavyHeav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gctool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Expériences professionnelles</vt:lpstr>
    </vt:vector>
  </TitlesOfParts>
  <Company>famille</Company>
  <LinksUpToDate>false</LinksUpToDate>
  <CharactersWithSpaces>3690</CharactersWithSpaces>
  <SharedDoc>false</SharedDoc>
  <HLinks>
    <vt:vector size="12" baseType="variant"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http://ogctool.sourceforge.net/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mailto:angelo_zerr@yahoo.fr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Expériences professionnelles</dc:title>
  <dc:subject/>
  <dc:creator>nico</dc:creator>
  <cp:keywords/>
  <dc:description/>
  <cp:lastModifiedBy>azerr</cp:lastModifiedBy>
  <cp:revision>2</cp:revision>
  <dcterms:created xsi:type="dcterms:W3CDTF">2011-11-25T16:26:00Z</dcterms:created>
  <dcterms:modified xsi:type="dcterms:W3CDTF">2011-11-25T16:26:00Z</dcterms:modified>
</cp:coreProperties>
</file>