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أصول القراءة البحثية</w:t>
      </w:r>
    </w:p>
    <w:p>
      <w:r>
        <w:t xml:space="preserve">المؤلف: فريق اختبار القارئ الذكي</w:t>
      </w:r>
    </w:p>
    <w:p>
      <w:r>
        <w:t xml:space="preserve">هذا كتاب اختبار صغير للتحقق من أن القارئ يعرض العربية من اليمين إلى اليسار، ويحفظ بنية النص عند الاستيراد.</w:t>
      </w:r>
    </w:p>
    <w:p>
      <w:pPr>
        <w:pStyle w:val="Heading2"/>
      </w:pPr>
      <w:r>
        <w:t xml:space="preserve">الفصل الأول القراءة المقصودة</w:t>
      </w:r>
    </w:p>
    <w:p>
      <w:pPr>
        <w:pStyle w:val="Heading3"/>
      </w:pPr>
      <w:r>
        <w:t xml:space="preserve">معنى القراءة المقصودة</w:t>
      </w:r>
    </w:p>
    <w:p>
      <w:r>
        <w:t xml:space="preserve">ليست القراءة جمعاً للنصوص فحسب، بل هي فهم السياق وتسجيل الفائدة والقدرة على الرجوع إلى المصدر عند الحاجة.</w:t>
      </w:r>
      <w:r>
        <w:footnoteReference w:id="1"/>
      </w:r>
    </w:p>
    <w:p>
      <w:r>
        <w:t xml:space="preserve">تبدأ هذه الفقرة في الصفحة الأولى، وتحيل إلى الحاشية الأولى</w:t>
      </w:r>
      <w:r>
        <w:br w:type="page"/>
      </w:r>
      <w:r>
        <w:t xml:space="preserve">ثم تتصل في الصفحة التالية بوصفها الفقرة نفسها، وتحيل إلى الحاشية الثانية</w:t>
      </w:r>
      <w:r>
        <w:footnoteReference w:id="1"/>
      </w:r>
      <w:r>
        <w:footnoteReference w:id="2"/>
      </w:r>
    </w:p>
    <w:p>
      <w:r>
        <w:rPr>
          <w:b/>
        </w:rPr>
        <w:t xml:space="preserve">الجملة المتكررة للاختبار هي: الرجوع إلى المصدر يحفظ سياق الفائدة.</w:t>
      </w:r>
    </w:p>
    <w:p>
      <w:hyperlink r:id="rId3">
        <w:r>
          <w:t xml:space="preserve">دليل المنهج</w:t>
        </w:r>
      </w:hyperlink>
    </w:p>
    <w:p>
      <w:pPr>
        <w:numPr>
          <w:ilvl w:val="0"/>
          <w:numId w:val="1"/>
        </w:numPr>
      </w:pPr>
      <w:r>
        <w:t xml:space="preserve">حدّد السؤال قبل البدء.</w:t>
      </w:r>
    </w:p>
    <w:p>
      <w:pPr>
        <w:numPr>
          <w:ilvl w:val="0"/>
          <w:numId w:val="1"/>
        </w:numPr>
      </w:pPr>
      <w:r>
        <w:t xml:space="preserve">اقرأ المقطع في سياقه.</w:t>
      </w:r>
    </w:p>
    <w:p>
      <w:pPr>
        <w:numPr>
          <w:ilvl w:val="0"/>
          <w:numId w:val="1"/>
        </w:numPr>
      </w:pPr>
      <w:r>
        <w:t xml:space="preserve">دوّن الفائدة مع موضعها.</w:t>
      </w:r>
    </w:p>
    <w:p>
      <w:pPr>
        <w:numPr>
          <w:ilvl w:val="0"/>
          <w:numId w:val="2"/>
        </w:numPr>
      </w:pPr>
      <w:r>
        <w:t xml:space="preserve">يمكن أن تكون الملاحظة قصيرة.</w:t>
      </w:r>
    </w:p>
    <w:p>
      <w:pPr>
        <w:numPr>
          <w:ilvl w:val="0"/>
          <w:numId w:val="2"/>
        </w:numPr>
      </w:pPr>
      <w:r>
        <w:t xml:space="preserve">ويمكن أن تتحول إلى بحث مستقل.</w:t>
      </w:r>
    </w:p>
    <w:p>
      <w:r>
        <w:br w:type="page"/>
      </w:r>
      <w:r>
        <w:t xml:space="preserv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000000" cy="2625000"/>
            <wp:docPr id="1" name="research-figure" descr="مخطط يربط السؤال بالمصدر ثم بالملاحظة"/>
            <a:graphic>
              <a:graphicData uri="http://schemas.openxmlformats.org/drawingml/2006/picture">
                <pic:pic>
                  <pic:nvPicPr>
                    <pic:cNvPr id="0" name="research-fig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شكل ١: مخطط مسار الملاحظة.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bidiVisual/>
      </w:tblPr>
      <w:tr>
        <w:trPr>
          <w:tblHeader/>
        </w:trPr>
        <w:tc>
          <w:tcPr>
            <w:tcW w:w="3000" w:type="dxa"/>
            <w:shd w:fill="D9E2F3"/>
          </w:tcPr>
          <w:p>
            <w:r>
              <w:rPr>
                <w:b/>
              </w:rPr>
              <w:t>العنصر</w:t>
            </w:r>
          </w:p>
        </w:tc>
        <w:tc>
          <w:tcPr>
            <w:tcW w:w="3000" w:type="dxa"/>
            <w:shd w:fill="D9E2F3"/>
          </w:tcPr>
          <w:p>
            <w:r>
              <w:rPr>
                <w:b/>
              </w:rPr>
              <w:t>الغرض</w:t>
            </w:r>
          </w:p>
        </w:tc>
        <w:tc>
          <w:tcPr>
            <w:tcW w:w="3000" w:type="dxa"/>
            <w:shd w:fill="D9E2F3"/>
          </w:tcPr>
          <w:p>
            <w:r>
              <w:rPr>
                <w:b/>
              </w:rPr>
              <w:t>مثال</w:t>
            </w:r>
          </w:p>
        </w:tc>
      </w:tr>
      <w:tr>
        <w:tc>
          <w:tcPr>
            <w:tcW w:w="3000" w:type="dxa"/>
          </w:tcPr>
          <w:p>
            <w:r>
              <w:t>السؤال</w:t>
            </w:r>
          </w:p>
        </w:tc>
        <w:tc>
          <w:tcPr>
            <w:tcW w:w="3000" w:type="dxa"/>
          </w:tcPr>
          <w:p>
            <w:r>
              <w:t>تحديد المقصود</w:t>
            </w:r>
          </w:p>
        </w:tc>
        <w:tc>
          <w:tcPr>
            <w:tcW w:w="3000" w:type="dxa"/>
          </w:tcPr>
          <w:p>
            <w:r>
              <w:t>ما معنى الوقت؟</w:t>
            </w:r>
          </w:p>
        </w:tc>
      </w:tr>
      <w:tr>
        <w:tc>
          <w:tcPr>
            <w:tcW w:w="3000" w:type="dxa"/>
          </w:tcPr>
          <w:p>
            <w:r>
              <w:t>المصدر</w:t>
            </w:r>
          </w:p>
        </w:tc>
        <w:tc>
          <w:tcPr>
            <w:tcW w:w="3000" w:type="dxa"/>
          </w:tcPr>
          <w:p>
            <w:r>
              <w:t>مراجعة الدليل</w:t>
            </w:r>
          </w:p>
        </w:tc>
        <w:tc>
          <w:tcPr>
            <w:tcW w:w="3000" w:type="dxa"/>
          </w:tcPr>
          <w:p>
            <w:r>
              <w:t>كتاب، فصل، فقرة</w:t>
            </w:r>
          </w:p>
        </w:tc>
      </w:tr>
      <w:tr>
        <w:tc>
          <w:tcPr>
            <w:tcW w:w="3000" w:type="dxa"/>
          </w:tcPr>
          <w:p>
            <w:r>
              <w:t>الملاحظة</w:t>
            </w:r>
          </w:p>
        </w:tc>
        <w:tc>
          <w:tcPr>
            <w:tcW w:w="3000" w:type="dxa"/>
          </w:tcPr>
          <w:p>
            <w:r>
              <w:t>حفظ النتيجة</w:t>
            </w:r>
          </w:p>
        </w:tc>
        <w:tc>
          <w:tcPr>
            <w:tcW w:w="3000" w:type="dxa"/>
          </w:tcPr>
          <w:p>
            <w:r>
              <w:t>رابط إلى المقطع</w:t>
            </w:r>
          </w:p>
        </w:tc>
      </w:tr>
    </w:tbl>
    <w:p>
      <w:pPr>
        <w:pStyle w:val="Heading2"/>
      </w:pPr>
      <w:r>
        <w:t xml:space="preserve">الفصل الثاني التوثيق والعودة</w:t>
      </w:r>
    </w:p>
    <w:p>
      <w:pPr>
        <w:pStyle w:val="Heading3"/>
      </w:pPr>
      <w:r>
        <w:t xml:space="preserve">لماذا نحتاج إلى رابط ثابت</w:t>
      </w:r>
    </w:p>
    <w:p>
      <w:r>
        <w:rPr>
          <w:b/>
        </w:rPr>
        <w:t xml:space="preserve">الجملة المتكررة للاختبار هي: الرجوع إلى المصدر يحفظ سياق الفائدة.</w:t>
      </w:r>
    </w:p>
    <w:p>
      <w:r>
        <w:t xml:space="preserve">إذا كانت العبارة متشابهة في موضعين، فلا يكفي البحث عن الكلمات وحدها؛ بل يحتاج النظام إلى هوية ثابتة للمقطع.</w:t>
      </w:r>
      <w:r>
        <w:footnoteReference w:id="2"/>
      </w:r>
    </w:p>
    <w:p>
      <w:pPr>
        <w:pStyle w:val="Heading4"/>
      </w:pPr>
      <w:r>
        <w:t xml:space="preserve">مثال في الأرقام</w:t>
      </w:r>
    </w:p>
    <w:p>
      <w:r>
        <w:t xml:space="preserve">في سنة 2026 راجع الباحث 12 مصدراً، ثم أضاف الرقم العربي ١٢ إلى ملاحظاته للمقارنة بين أنماط الأرقام.</w:t>
      </w:r>
    </w:p>
    <w:p>
      <w:r>
        <w:t xml:space="preserve">الملاحظة البحثية الجيدة لا تنفصل عن موضعها في الكتاب.</w:t>
      </w:r>
    </w:p>
    <w:p>
      <w:pPr>
        <w:pStyle w:val="Heading2"/>
      </w:pPr>
      <w:r>
        <w:br w:type="page"/>
      </w:r>
      <w:r>
        <w:t xml:space="preserve">الفصل الثالث بناء الملاحظة</w:t>
      </w:r>
    </w:p>
    <w:p>
      <w:pPr>
        <w:pStyle w:val="Heading3"/>
      </w:pPr>
      <w:r>
        <w:t xml:space="preserve">من القراءة إلى البحث</w:t>
      </w:r>
    </w:p>
    <w:p>
      <w:r>
        <w:t xml:space="preserve">بعد قراءة المقطع، اكتب الفكرة بلغتك، ثم أضف النص المنقول ورابطه إلى المصدر. لا يكفي أن تتذكر العبارة؛ يجب أن تستطيع العودة إليها.</w:t>
      </w:r>
    </w:p>
    <w:p>
      <w:r>
        <w:rPr>
          <w:b/>
        </w:rPr>
        <w:t xml:space="preserve">الجملة المتكررة للاختبار هي: الرجوع إلى المصدر يحفظ سياق الفائدة.</w:t>
      </w:r>
    </w:p>
    <w:p>
      <w:r>
        <w:t xml:space="preserve">١. تحديد السؤال</w:t>
      </w:r>
    </w:p>
    <w:p>
      <w:r>
        <w:t xml:space="preserve">٢. قراءة السياق</w:t>
      </w:r>
    </w:p>
    <w:p>
      <w:r>
        <w:t xml:space="preserve">٣. كتابة الملاحظة</w:t>
      </w:r>
    </w:p>
    <w:p>
      <w:r>
        <w:t xml:space="preserve">هذه صفحة ثالثة فعلية في مصدر الاختبار، وليست مجرد زيادة في طول الصفحة الأولى.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-separator" w:id="0">
    <w:p>
      <w:r>
        <w:continuationSeparator/>
      </w:r>
    </w:p>
  </w:footnote>
  <w:footnote w:id="1">
    <w:p>
      <w:r>
        <w:t>الحاشية الأولى: المقصود بالمنهج هنا ترتيب القراءة والسؤال والتوثيق.</w:t>
      </w:r>
    </w:p>
  </w:footnote>
  <w:footnote w:id="2">
    <w:p>
      <w:r>
        <w:t>الحاشية الثانية: هوية المقطع معرف داخلي ثابت، وليست عنوان الفصل وحده.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pPr>
        <w:bidi/>
      </w:pPr>
    </w:lvl>
  </w:abstractNum>
  <w:abstractNum w:abstractNumId="1">
    <w:multiLevelType w:val="singleLevel"/>
    <w:lvl w:ilvl="0">
      <w:start w:val="1"/>
      <w:numFmt w:val="bullet"/>
      <w:lvlText w:val="•"/>
      <w:pPr>
        <w:bidi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  <w:pPr>
      <w:bidi/>
    </w:pPr>
  </w:style>
  <w:style w:type="paragraph" w:styleId="Heading1">
    <w:name w:val="heading 1"/>
    <w:basedOn w:val="Normal"/>
    <w:pPr>
      <w:outlineLvl w:val="0"/>
      <w:bidi/>
    </w:pPr>
    <w:rPr>
      <w:b/>
    </w:rPr>
  </w:style>
  <w:style w:type="paragraph" w:styleId="Heading2">
    <w:name w:val="heading 2"/>
    <w:basedOn w:val="Normal"/>
    <w:pPr>
      <w:outlineLvl w:val="1"/>
      <w:bidi/>
    </w:pPr>
    <w:rPr>
      <w:b/>
    </w:rPr>
  </w:style>
  <w:style w:type="paragraph" w:styleId="Heading3">
    <w:name w:val="heading 3"/>
    <w:basedOn w:val="Normal"/>
    <w:pPr>
      <w:outlineLvl w:val="2"/>
      <w:bidi/>
    </w:pPr>
    <w:rPr>
      <w:b/>
    </w:rPr>
  </w:style>
  <w:style w:type="paragraph" w:styleId="Heading4">
    <w:name w:val="heading 4"/>
    <w:basedOn w:val="Normal"/>
    <w:pPr>
      <w:outlineLvl w:val="3"/>
      <w:bidi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styles" Target="styles.xml"/>
  <Relationship Id="rId3" Type="http://schemas.openxmlformats.org/officeDocument/2006/relationships/hyperlink" Target="https://example.org/manhaj" TargetMode="External"/>
  <Relationship Id="rId4" Type="http://schemas.openxmlformats.org/officeDocument/2006/relationships/image" Target="media/research-figure.png"/>
  <Relationship Id="rId5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Smart Reader v2 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أصول القراءة البحثية</dc:title>
  <dc:creator>فريق اختبار القارئ الذكي</dc:creator>
</cp:coreProperties>
</file>