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28A6" w:rsidRDefault="007128A6" w:rsidP="007128A6">
      <w:pPr>
        <w:spacing w:after="0" w:line="400" w:lineRule="atLeast"/>
        <w:jc w:val="center"/>
        <w:outlineLvl w:val="0"/>
        <w:rPr>
          <w:rFonts w:ascii="Times New Roman" w:eastAsia="Times New Roman" w:hAnsi="Times New Roman" w:cs="Times New Roman"/>
          <w:b/>
          <w:bCs/>
          <w:color w:val="BF3F7F"/>
          <w:kern w:val="36"/>
          <w:sz w:val="36"/>
          <w:szCs w:val="36"/>
          <w:lang w:eastAsia="fr-FR"/>
        </w:rPr>
      </w:pPr>
      <w:bookmarkStart w:id="0" w:name="_GoBack"/>
      <w:bookmarkEnd w:id="0"/>
      <w:r>
        <w:rPr>
          <w:rFonts w:ascii="Times New Roman" w:eastAsia="Times New Roman" w:hAnsi="Times New Roman" w:cs="Times New Roman"/>
          <w:b/>
          <w:bCs/>
          <w:color w:val="BF3F7F"/>
          <w:kern w:val="36"/>
          <w:sz w:val="36"/>
          <w:szCs w:val="36"/>
          <w:lang w:eastAsia="fr-FR"/>
        </w:rPr>
        <w:t>Fractures of the mandible</w:t>
      </w:r>
    </w:p>
    <w:p w:rsidR="007128A6" w:rsidRPr="007128A6" w:rsidRDefault="007128A6" w:rsidP="007128A6">
      <w:pPr>
        <w:spacing w:after="0" w:line="400" w:lineRule="atLeast"/>
        <w:jc w:val="center"/>
        <w:outlineLvl w:val="0"/>
        <w:rPr>
          <w:rFonts w:ascii="Times New Roman" w:eastAsia="Times New Roman" w:hAnsi="Times New Roman" w:cs="Times New Roman"/>
          <w:b/>
          <w:bCs/>
          <w:color w:val="BF3F7F"/>
          <w:kern w:val="36"/>
          <w:sz w:val="36"/>
          <w:szCs w:val="36"/>
          <w:lang w:eastAsia="fr-FR"/>
        </w:rPr>
      </w:pPr>
    </w:p>
    <w:p w:rsidR="007128A6" w:rsidRPr="007128A6" w:rsidRDefault="007128A6" w:rsidP="007128A6">
      <w:pPr>
        <w:spacing w:after="0" w:line="400" w:lineRule="atLeast"/>
        <w:jc w:val="center"/>
        <w:outlineLvl w:val="2"/>
        <w:rPr>
          <w:rFonts w:ascii="Times New Roman" w:eastAsia="Times New Roman" w:hAnsi="Times New Roman" w:cs="Times New Roman"/>
          <w:b/>
          <w:bCs/>
          <w:color w:val="0000F0"/>
          <w:sz w:val="26"/>
          <w:szCs w:val="26"/>
          <w:lang w:eastAsia="fr-FR"/>
        </w:rPr>
      </w:pPr>
      <w:r>
        <w:rPr>
          <w:rFonts w:ascii="Times New Roman" w:eastAsia="Times New Roman" w:hAnsi="Times New Roman" w:cs="Times New Roman"/>
          <w:b/>
          <w:bCs/>
          <w:color w:val="0000F0"/>
          <w:sz w:val="26"/>
          <w:szCs w:val="26"/>
          <w:lang w:eastAsia="fr-FR"/>
        </w:rPr>
        <w:t>Anatomical, morphological, pathophysiological, clinical and radiological analysis of continuity disruptions of the mandibular skeleton</w:t>
      </w:r>
    </w:p>
    <w:p w:rsidR="007128A6" w:rsidRPr="007128A6" w:rsidRDefault="007128A6" w:rsidP="007128A6">
      <w:pPr>
        <w:spacing w:after="0" w:line="400" w:lineRule="atLeast"/>
        <w:jc w:val="both"/>
        <w:outlineLvl w:val="1"/>
        <w:rPr>
          <w:rFonts w:ascii="Times New Roman" w:eastAsia="Times New Roman" w:hAnsi="Times New Roman" w:cs="Times New Roman"/>
          <w:i/>
          <w:iCs/>
          <w:sz w:val="25"/>
          <w:szCs w:val="25"/>
          <w:lang w:eastAsia="fr-FR"/>
        </w:rPr>
      </w:pPr>
    </w:p>
    <w:p w:rsidR="007128A6" w:rsidRPr="007128A6" w:rsidRDefault="007128A6" w:rsidP="007128A6">
      <w:pPr>
        <w:pStyle w:val="Titre2"/>
        <w:spacing w:before="240" w:beforeAutospacing="0" w:after="240" w:afterAutospacing="0" w:line="400" w:lineRule="atLeast"/>
        <w:jc w:val="both"/>
        <w:rPr>
          <w:color w:val="FF0000"/>
          <w:sz w:val="30"/>
          <w:szCs w:val="30"/>
        </w:rPr>
      </w:pPr>
      <w:r>
        <w:rPr>
          <w:color w:val="FF0000"/>
          <w:sz w:val="30"/>
          <w:szCs w:val="30"/>
        </w:rPr>
        <w:t>I- Definition</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nosological definition of mandibular fractures corresponds to the identification of acquired traumatic injuries characterized by a discontinuity of the mandibular bone tissue, affecting an unpaired, median, and mobile bone of the lower facial mass, essential to the morphological and functional oro-facial balance.</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notion of acquired mandibular bone continuity disruption translates to a clear or partial discontinuity of the mandibular skeleton, occurring after an external mechanical event, and breaking the architectural integrity of a bone arch subjected to strong functional constraints.</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direct or indirect mechanical traumatic nature defines the fundamental causal mechanism, with the fracture resulting either from an impact applied directly to the mandible or from the transmission of kinetic forces at a distance, concentrated on areas of anatomical fragility.</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Involvement of the mandibular skeleton, which supports the masticatory function, gives these fractures a major functional dimension, as the mandible forms the bony support for the lower teeth, masticatory muscles, and the temporomandibular joint.</w:t>
      </w:r>
    </w:p>
    <w:p w:rsidR="007128A6" w:rsidRPr="007128A6" w:rsidRDefault="007128A6" w:rsidP="007128A6">
      <w:pPr>
        <w:pStyle w:val="NormalWeb"/>
        <w:spacing w:before="160" w:beforeAutospacing="0" w:after="0" w:afterAutospacing="0" w:line="400" w:lineRule="atLeast"/>
        <w:ind w:firstLine="425"/>
        <w:jc w:val="both"/>
        <w:rPr>
          <w:sz w:val="25"/>
          <w:szCs w:val="25"/>
        </w:rPr>
      </w:pPr>
      <w:proofErr w:type="gramStart"/>
      <w:proofErr w:type="gramEnd"/>
      <w:r>
        <w:rPr>
          <w:sz w:val="25"/>
          <w:szCs w:val="25"/>
        </w:rPr>
        <w:t>The specific occlusal and functional impact finally results from the disorganization of the mandibular arch, altering dental alignment, masticatory kinetics, and the biomechanical balance of the entire stomatognathic system.</w:t>
      </w:r>
    </w:p>
    <w:p w:rsidR="007128A6" w:rsidRPr="007128A6" w:rsidRDefault="007128A6" w:rsidP="007128A6">
      <w:pPr>
        <w:pStyle w:val="Titre2"/>
        <w:spacing w:before="240" w:beforeAutospacing="0" w:after="240" w:afterAutospacing="0" w:line="400" w:lineRule="atLeast"/>
        <w:jc w:val="both"/>
        <w:rPr>
          <w:color w:val="FF0000"/>
          <w:sz w:val="30"/>
          <w:szCs w:val="30"/>
        </w:rPr>
      </w:pPr>
      <w:r>
        <w:rPr>
          <w:color w:val="FF0000"/>
          <w:sz w:val="30"/>
          <w:szCs w:val="30"/>
        </w:rPr>
        <w:t>II- Anatomical reminders</w:t>
      </w:r>
    </w:p>
    <w:p w:rsidR="007128A6" w:rsidRPr="007128A6" w:rsidRDefault="007128A6" w:rsidP="007128A6">
      <w:pPr>
        <w:pStyle w:val="Titre3"/>
        <w:spacing w:before="240" w:beforeAutospacing="0" w:after="240" w:afterAutospacing="0" w:line="400" w:lineRule="atLeast"/>
        <w:ind w:firstLine="425"/>
        <w:jc w:val="both"/>
        <w:rPr>
          <w:color w:val="FF6600"/>
          <w:sz w:val="28"/>
          <w:szCs w:val="28"/>
        </w:rPr>
      </w:pPr>
      <w:r>
        <w:rPr>
          <w:color w:val="FF6600"/>
          <w:sz w:val="28"/>
          <w:szCs w:val="28"/>
        </w:rPr>
        <w:t>Mandible</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status of an unpaired, median, and mobile bone of the facial mass gives the mandible a major anatomical and functional uniqueness, this bone being the only movable element of the facial skeleton and providing the dynamic interface between the base of the skull, the lower face, and the stomatognathic system.</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mandibular cortico-cancellous bone structure combines a thick external cortex, resistant to mechanical stress, with a richly vascularized internal spongy tissue, whose organization conditions both the overall strength of the bone and its vulnerability to fracture lines.</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role in the lower facial architecture is expressed by the participation of the mandible in the projection of the lower third of the face, in the support of the peri-oral soft tissues, and in the morphological harmony of the facial profile, any alteration of its continuity resulting in an immediately perceptible deformation.</w:t>
      </w:r>
    </w:p>
    <w:p w:rsidR="007128A6" w:rsidRPr="007128A6" w:rsidRDefault="007128A6" w:rsidP="007128A6">
      <w:pPr>
        <w:pStyle w:val="Titre3"/>
        <w:spacing w:before="240" w:beforeAutospacing="0" w:after="240" w:afterAutospacing="0" w:line="400" w:lineRule="atLeast"/>
        <w:ind w:firstLine="425"/>
        <w:jc w:val="both"/>
        <w:rPr>
          <w:color w:val="FF6600"/>
          <w:sz w:val="28"/>
          <w:szCs w:val="28"/>
        </w:rPr>
      </w:pPr>
      <w:r>
        <w:rPr>
          <w:color w:val="FF6600"/>
          <w:sz w:val="28"/>
          <w:szCs w:val="28"/>
        </w:rPr>
        <w:t>B- Mandibular anatomical segments</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dental-bearing mandibular body constitutes the horizontal portion of the bone, supporting the lower dental arch and receiving repeated masticatory stresses, which explains the frequency of fractures at this level during direct trauma.</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mandibular angle represents a zone of particular mechanical fragility, located at the junction between the body and the ascending branch, where variations in bone thickness and muscle insertion promote the concentration of traumatic stresses.</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ascending branch articular support ensures the transmission of forces between the mandibular body and the temporomandibular joint, its verticality and relative thinness explaining the occurrence of fractures due to indirect mechanisms.</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neck and condylar head of the temporomandibular joint constitute specialized anatomical structures, adapted to joint mobility, but particularly exposed to fractures by lever effect during chin traumas.</w:t>
      </w:r>
    </w:p>
    <w:p w:rsidR="007128A6" w:rsidRPr="007128A6" w:rsidRDefault="007128A6" w:rsidP="007128A6">
      <w:pPr>
        <w:pStyle w:val="Titre3"/>
        <w:spacing w:before="240" w:beforeAutospacing="0" w:after="240" w:afterAutospacing="0" w:line="400" w:lineRule="atLeast"/>
        <w:ind w:firstLine="425"/>
        <w:jc w:val="both"/>
        <w:rPr>
          <w:color w:val="FF6600"/>
          <w:sz w:val="28"/>
          <w:szCs w:val="28"/>
        </w:rPr>
      </w:pPr>
      <w:r>
        <w:rPr>
          <w:color w:val="FF6600"/>
          <w:sz w:val="28"/>
          <w:szCs w:val="28"/>
        </w:rPr>
        <w:t>C- Vascular-nerve relationships</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path of the inferior alveolar nerve takes place inside the mandible, from the mandibular foramen to the mental foramen, providing sensory innervation to the lower dental arch and the labio-mental area.</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mandibular canal and its traumatic vulnerability explain the frequency of sensory impairments associated with fractures, any disruption of bone continuity can lead to compression, stretching, or partial sectioning of the nerve.</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relationships with the masticatory muscles, notably the masseter, the temporal, and the pterygoids, finally condition the fracture dynamics, as the muscular forces can secondarily displace the bone fragments and modify the mandibular alignment.</w:t>
      </w:r>
    </w:p>
    <w:p w:rsidR="007128A6" w:rsidRPr="007128A6" w:rsidRDefault="007128A6" w:rsidP="007128A6">
      <w:pPr>
        <w:pStyle w:val="Titre2"/>
        <w:spacing w:before="240" w:beforeAutospacing="0" w:after="240" w:afterAutospacing="0" w:line="400" w:lineRule="atLeast"/>
        <w:jc w:val="both"/>
        <w:rPr>
          <w:color w:val="FF0000"/>
          <w:sz w:val="30"/>
          <w:szCs w:val="30"/>
        </w:rPr>
      </w:pPr>
      <w:r>
        <w:rPr>
          <w:color w:val="FF0000"/>
          <w:sz w:val="30"/>
          <w:szCs w:val="30"/>
        </w:rPr>
        <w:t>III- Pathophysiology</w:t>
      </w:r>
    </w:p>
    <w:p w:rsidR="007128A6" w:rsidRPr="007128A6" w:rsidRDefault="007128A6" w:rsidP="007128A6">
      <w:pPr>
        <w:pStyle w:val="Titre3"/>
        <w:spacing w:before="240" w:beforeAutospacing="0" w:after="240" w:afterAutospacing="0" w:line="400" w:lineRule="atLeast"/>
        <w:ind w:firstLine="425"/>
        <w:jc w:val="both"/>
        <w:rPr>
          <w:color w:val="FF6600"/>
          <w:sz w:val="28"/>
          <w:szCs w:val="28"/>
        </w:rPr>
      </w:pPr>
      <w:r>
        <w:rPr>
          <w:color w:val="FF6600"/>
          <w:sz w:val="28"/>
          <w:szCs w:val="28"/>
        </w:rPr>
        <w:t>A- Mechanical principles</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transmission of traumatic forces to the mandibular skeleton is based on the sudden application of kinetic energy, whose dissipation occurs along the bony arch according to axes depending on the point of impact and the mandibular position at the time of the trauma.</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lever effect and the stress concentration areas explain the occurrence of fractures at a distance from the point of impact, with the mandible behaving like an arch structure subjected to bending, twisting, and compression forces.</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dissociation of masticatory muscle forces occurs early after the fracture, with the asymmetric tractions exerted by the muscles inserted on the mandible promoting the secondary displacement of the fragments and the worsening of the bone misalignment.</w:t>
      </w:r>
    </w:p>
    <w:p w:rsidR="007128A6" w:rsidRPr="007128A6" w:rsidRDefault="007128A6" w:rsidP="007128A6">
      <w:pPr>
        <w:pStyle w:val="Titre3"/>
        <w:spacing w:before="240" w:beforeAutospacing="0" w:after="240" w:afterAutospacing="0" w:line="400" w:lineRule="atLeast"/>
        <w:ind w:firstLine="425"/>
        <w:jc w:val="both"/>
        <w:rPr>
          <w:color w:val="FF6600"/>
          <w:sz w:val="28"/>
          <w:szCs w:val="28"/>
        </w:rPr>
      </w:pPr>
      <w:r>
        <w:rPr>
          <w:color w:val="FF6600"/>
          <w:sz w:val="28"/>
          <w:szCs w:val="28"/>
        </w:rPr>
        <w:t>B- Injury mechanisms</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Cortical rupture by direct stress corresponds to the application of a localized shock exceeding the bone's elasticity capacity, resulting in a clean fracture at the point of impact, frequently observed during lateral or angular traumas.</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indirect fracture by propagation of force lines results from the transmission of traumatic energy to anatomically fragile areas, such as the angle or the condylar neck, explaining the frequent dissociation between the site of impact and the site of the fracture.</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influence of occlusion on fracture displacement is exerted through dental contacts and associated muscular forces, with tight occlusion at the time of trauma increasing internal stresses and altering the configuration of fracture lines.</w:t>
      </w:r>
    </w:p>
    <w:p w:rsidR="007128A6" w:rsidRPr="007128A6" w:rsidRDefault="007128A6" w:rsidP="007128A6">
      <w:pPr>
        <w:pStyle w:val="Titre3"/>
        <w:spacing w:before="240" w:beforeAutospacing="0" w:after="240" w:afterAutospacing="0" w:line="400" w:lineRule="atLeast"/>
        <w:ind w:firstLine="425"/>
        <w:jc w:val="both"/>
        <w:rPr>
          <w:color w:val="FF6600"/>
          <w:sz w:val="28"/>
          <w:szCs w:val="28"/>
        </w:rPr>
      </w:pPr>
      <w:r>
        <w:rPr>
          <w:color w:val="FF6600"/>
          <w:sz w:val="28"/>
          <w:szCs w:val="28"/>
        </w:rPr>
        <w:t>C- Functional consequences</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disorganization of the mandibular arch constitutes the central pathophysiological consequence, disrupting the biomechanical continuity of the bone and altering the harmonious transmission of masticatory forces.</w:t>
      </w:r>
    </w:p>
    <w:p w:rsidR="007128A6" w:rsidRPr="007128A6" w:rsidRDefault="007128A6" w:rsidP="007128A6">
      <w:pPr>
        <w:pStyle w:val="NormalWeb"/>
        <w:spacing w:before="160" w:beforeAutospacing="0" w:after="0" w:afterAutospacing="0" w:line="400" w:lineRule="atLeast"/>
        <w:ind w:firstLine="425"/>
        <w:jc w:val="both"/>
        <w:rPr>
          <w:sz w:val="25"/>
          <w:szCs w:val="25"/>
        </w:rPr>
      </w:pPr>
      <w:proofErr w:type="gramStart"/>
      <w:proofErr w:type="gramEnd"/>
      <w:r>
        <w:rPr>
          <w:sz w:val="25"/>
          <w:szCs w:val="25"/>
        </w:rPr>
        <w:t>The disturbance of masticatory kinetics results from bone instability and muscle imbalance, leading to a limitation of mandibular movements, functional pain, and inefficiency of chewing.</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alteration of occlusal balance finally represents the functional outcome, the loss of congruence between the dental arches generating occlusion disorders, abnormal joint constraints, and a global impact on the stomatognathic system.</w:t>
      </w:r>
    </w:p>
    <w:p w:rsidR="007128A6" w:rsidRPr="007128A6" w:rsidRDefault="007128A6" w:rsidP="007128A6">
      <w:pPr>
        <w:pStyle w:val="Titre2"/>
        <w:spacing w:before="240" w:beforeAutospacing="0" w:after="240" w:afterAutospacing="0" w:line="400" w:lineRule="atLeast"/>
        <w:jc w:val="both"/>
        <w:rPr>
          <w:color w:val="FF0000"/>
          <w:sz w:val="30"/>
          <w:szCs w:val="30"/>
        </w:rPr>
      </w:pPr>
      <w:r>
        <w:rPr>
          <w:color w:val="FF0000"/>
          <w:sz w:val="30"/>
          <w:szCs w:val="30"/>
        </w:rPr>
        <w:t>IV- Etiologies</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Direct trauma to the lower face is the fundamental etiology of mandibular fractures, with the impact applied directly to the chin, angle, or lateral region exceeding the mechanical resistance capacity of the mandibular bone.</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Road traffic accidents represent a major cause, with the high kinetic energy transmitted during road collisions exposing the mandible to brutal forces of compression, bending, and twisting often associated with complex facial injuries.</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Sports and occupational injuries are part of mechanisms with variable energy, ranging from direct impact during contact sports to accidental impacts on rigid structures in the context of manual or industrial activities.</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Interpersonal violence constitutes a frequent etiology, blows to the lower face generating fractures by direct impact or by indirect mechanism, often located at the level of the angle or the mandibular body.</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Bone and dental predisposing factors act as elements modulating the severity and fracture topography, the presence of impacted teeth, partial edentulism, or areas of reduced bone thickness favoring stress concentration.</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associated bone-weakening condition, including osteoporosis, bone metabolic disorders, or certain chronic deficiencies, reduces the resistance of mandibular bone tissue and lowers the fracture threshold in the face of sometimes moderate intensity trauma.</w:t>
      </w:r>
    </w:p>
    <w:p w:rsidR="007128A6" w:rsidRPr="007128A6" w:rsidRDefault="007128A6" w:rsidP="007128A6">
      <w:pPr>
        <w:pStyle w:val="Titre2"/>
        <w:spacing w:before="240" w:beforeAutospacing="0" w:after="240" w:afterAutospacing="0" w:line="400" w:lineRule="atLeast"/>
        <w:jc w:val="both"/>
        <w:rPr>
          <w:color w:val="FF0000"/>
          <w:sz w:val="30"/>
          <w:szCs w:val="30"/>
        </w:rPr>
      </w:pPr>
      <w:r>
        <w:rPr>
          <w:color w:val="FF0000"/>
          <w:sz w:val="30"/>
          <w:szCs w:val="30"/>
        </w:rPr>
        <w:t>V- Pathological anatomy / Morphology</w:t>
      </w:r>
    </w:p>
    <w:p w:rsidR="007128A6" w:rsidRPr="007128A6" w:rsidRDefault="007128A6" w:rsidP="007128A6">
      <w:pPr>
        <w:pStyle w:val="Titre3"/>
        <w:spacing w:before="240" w:beforeAutospacing="0" w:after="240" w:afterAutospacing="0" w:line="400" w:lineRule="atLeast"/>
        <w:ind w:firstLine="425"/>
        <w:jc w:val="both"/>
        <w:rPr>
          <w:color w:val="FF6600"/>
          <w:sz w:val="28"/>
          <w:szCs w:val="28"/>
        </w:rPr>
      </w:pPr>
      <w:r>
        <w:rPr>
          <w:color w:val="FF6600"/>
          <w:sz w:val="28"/>
          <w:szCs w:val="28"/>
        </w:rPr>
        <w:t>A- Macroscopic appearance</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mandibular fracture line corresponds to a visible discontinuity in the bone, interrupting the normal architecture of the cortical and spongy tissue, and indicating the mechanical rupture of the mandibular arch.</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orientation of the fracture line depends on the lines of force applied during the trauma, which can be transverse, oblique, or vertical depending on the direction of the impact and the local anatomical configuration.</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Simple or comminuted fractures distinguish single-line forms from complex fractures involving multiple bone fragments, the latter indicating high traumatic energy and chaotic dissipation of mechanical stresses.</w:t>
      </w:r>
    </w:p>
    <w:p w:rsidR="007128A6" w:rsidRPr="007128A6" w:rsidRDefault="007128A6" w:rsidP="007128A6">
      <w:pPr>
        <w:pStyle w:val="Titre3"/>
        <w:spacing w:before="240" w:beforeAutospacing="0" w:after="240" w:afterAutospacing="0" w:line="400" w:lineRule="atLeast"/>
        <w:ind w:firstLine="425"/>
        <w:jc w:val="both"/>
        <w:rPr>
          <w:color w:val="FF6600"/>
          <w:sz w:val="28"/>
          <w:szCs w:val="28"/>
        </w:rPr>
      </w:pPr>
      <w:r>
        <w:rPr>
          <w:color w:val="FF6600"/>
          <w:sz w:val="28"/>
          <w:szCs w:val="28"/>
        </w:rPr>
        <w:t>B- Fracture displacement</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Muscle traction displacement constitutes a central mechanism of mandibular pathological anatomy, with the masticatory muscles exerting asymmetric forces that pull the bone fragments in opposite directions.</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misalignment of bone fragments results from the combination of the discontinuity rupture and the persistent muscular forces, leading to an angular or translational shift responsible for a deformation of the mandibular arch.</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loss of continuity of the mandibular arch indicates the major biomechanical impact of the fracture, disrupting the functional unit of the mandible and leading to associated occlusal and masticatory disorders.</w:t>
      </w:r>
    </w:p>
    <w:p w:rsidR="007128A6" w:rsidRPr="007128A6" w:rsidRDefault="007128A6" w:rsidP="007128A6">
      <w:pPr>
        <w:pStyle w:val="Titre3"/>
        <w:spacing w:before="240" w:beforeAutospacing="0" w:after="240" w:afterAutospacing="0" w:line="400" w:lineRule="atLeast"/>
        <w:ind w:firstLine="425"/>
        <w:jc w:val="both"/>
        <w:rPr>
          <w:color w:val="FF6600"/>
          <w:sz w:val="28"/>
          <w:szCs w:val="28"/>
        </w:rPr>
      </w:pPr>
      <w:r>
        <w:rPr>
          <w:color w:val="FF6600"/>
          <w:sz w:val="28"/>
          <w:szCs w:val="28"/>
        </w:rPr>
        <w:t>C- Fracture topography</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fracture of the mandibular body involves the horizontal portion bearing the teeth, this location exposing to early occlusal disorders and a risk of oral-fracture communication.</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fracture of the mandibular angle occurs at an anatomical and mechanical transition zone, characterized by variable bone thickness and by the insertion of powerful muscles promoting the displacement of fragments.</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fracture of the ascending branch most often results from indirect mechanisms, with the transmission of forces from the chin or the mandibular body concentrating on this relatively thin vertical structure.</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condylar and subcondylar fracture involves the neck or head of the mandible, this topography exposing to temporomandibular joint disorders and major disturbances of mandibular kinetics.</w:t>
      </w:r>
    </w:p>
    <w:p w:rsidR="007128A6" w:rsidRPr="007128A6" w:rsidRDefault="007128A6" w:rsidP="007128A6">
      <w:pPr>
        <w:pStyle w:val="Titre2"/>
        <w:spacing w:before="240" w:beforeAutospacing="0" w:after="240" w:afterAutospacing="0" w:line="400" w:lineRule="atLeast"/>
        <w:jc w:val="both"/>
        <w:rPr>
          <w:color w:val="FF0000"/>
          <w:sz w:val="30"/>
          <w:szCs w:val="30"/>
        </w:rPr>
      </w:pPr>
      <w:r>
        <w:rPr>
          <w:color w:val="FF0000"/>
          <w:sz w:val="30"/>
          <w:szCs w:val="30"/>
        </w:rPr>
        <w:t>VI- Clinical</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Mechanical mandibular pain is the cardinal functional sign of mandibular fractures, resulting from the disruption of bone continuity and the abnormal tension of periosteal, muscular, and ligamentous structures during mandibular movements.</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This pain is exacerbated by active or passive mobilization, indicating the instability of bone fragments and the direct transmission of mechanical stresses to the fracture site.</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Masticatory functional impotence sets in early, the loss of coherence of the mandibular arch disrupting muscular coordination and making chewing ineffective, painful, or impossible.</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Occlusal disorder is a major semiological sign, revealing a misalignment of the dental arches secondary to fracture displacement and misalignment of the mandibular segments.</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Segmental abnormal mobility corresponds to the perception of an independent movement between two portions of the mandible, indicating a clear mechanical instability at the fracture line.</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Deviation of mouth opening occurs in unilateral or condylar fractures, with muscular and articular asymmetry directing the opening towards the injured side.</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Hypoesthesia of the inferior alveolar territory indicates direct or indirect involvement of the inferior alveolar nerve, by contusion, stretching, or compression within the mandibular canal.</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Cutaneous-mucosal signs associated include bruises, swellings, intraoral or skin wounds, indicating the often open or complex nature of mandibular trauma.</w:t>
      </w:r>
    </w:p>
    <w:p w:rsidR="007128A6" w:rsidRPr="007128A6" w:rsidRDefault="007128A6" w:rsidP="007128A6">
      <w:pPr>
        <w:pStyle w:val="Titre2"/>
        <w:spacing w:before="240" w:beforeAutospacing="0" w:after="240" w:afterAutospacing="0" w:line="400" w:lineRule="atLeast"/>
        <w:jc w:val="both"/>
        <w:rPr>
          <w:color w:val="FF0000"/>
          <w:sz w:val="30"/>
          <w:szCs w:val="30"/>
        </w:rPr>
      </w:pPr>
      <w:r>
        <w:rPr>
          <w:color w:val="FF0000"/>
          <w:sz w:val="30"/>
          <w:szCs w:val="30"/>
        </w:rPr>
        <w:t>VII- Radiology</w:t>
      </w:r>
    </w:p>
    <w:p w:rsidR="007128A6" w:rsidRPr="007128A6" w:rsidRDefault="007128A6" w:rsidP="007128A6">
      <w:pPr>
        <w:pStyle w:val="Titre3"/>
        <w:spacing w:before="240" w:beforeAutospacing="0" w:after="240" w:afterAutospacing="0" w:line="400" w:lineRule="atLeast"/>
        <w:ind w:firstLine="425"/>
        <w:jc w:val="both"/>
        <w:rPr>
          <w:color w:val="FF6600"/>
          <w:sz w:val="28"/>
          <w:szCs w:val="28"/>
        </w:rPr>
      </w:pPr>
      <w:r>
        <w:rPr>
          <w:color w:val="FF6600"/>
          <w:sz w:val="28"/>
          <w:szCs w:val="28"/>
        </w:rPr>
        <w:t>CT scan</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visualization of the bone fracture line is the main objective of the computed tomography exploration, allowing precise identification of the discontinuity affecting the cortical and mandibular spongy tissue.</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analysis of the displacement of fragments assesses the translation, angulation, and possible overlapping of bone segments, key elements for evaluating severity and therapeutic planning.</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study of cortical continuity allows distinguishing simple fractures from comminuted forms, by identifying the number of fragments and the degree of bone fragmentation.</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Assessment of condylar involvement is essential, with computed tomography allowing detection of fractures of the condylar neck or head that are sometimes clinically subtle but functionally significant.</w:t>
      </w:r>
    </w:p>
    <w:p w:rsidR="007128A6" w:rsidRPr="007128A6" w:rsidRDefault="007128A6" w:rsidP="007128A6">
      <w:pPr>
        <w:pStyle w:val="Titre3"/>
        <w:spacing w:before="240" w:beforeAutospacing="0" w:after="240" w:afterAutospacing="0" w:line="400" w:lineRule="atLeast"/>
        <w:ind w:firstLine="425"/>
        <w:jc w:val="both"/>
        <w:rPr>
          <w:color w:val="FF6600"/>
          <w:sz w:val="28"/>
          <w:szCs w:val="28"/>
        </w:rPr>
      </w:pPr>
      <w:r>
        <w:rPr>
          <w:color w:val="FF6600"/>
          <w:sz w:val="28"/>
          <w:szCs w:val="28"/>
        </w:rPr>
        <w:t>B- Multiplanar reconstructions</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sagittal analysis of the mandibular arch restores the overall curvature of the mandible, highlighting the discontinuities and longitudinal misalignments.</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axial analysis of fracture lines specifies the orientation of the fracture lines and their relationship with the mandibular canal, contributing to the assessment of neurological risk.</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coronal analysis of the temporomandibular joint allows for the study of the condylar-temporal alignment, the detection of articular displacements, and the assessment of the fracture impact on mandibular kinematics.</w:t>
      </w:r>
    </w:p>
    <w:p w:rsidR="007128A6" w:rsidRPr="007128A6" w:rsidRDefault="007128A6" w:rsidP="007128A6">
      <w:pPr>
        <w:pStyle w:val="Titre3"/>
        <w:spacing w:before="240" w:beforeAutospacing="0" w:after="240" w:afterAutospacing="0" w:line="400" w:lineRule="atLeast"/>
        <w:ind w:firstLine="425"/>
        <w:jc w:val="both"/>
        <w:rPr>
          <w:color w:val="FF6600"/>
          <w:sz w:val="28"/>
          <w:szCs w:val="28"/>
        </w:rPr>
      </w:pPr>
      <w:r>
        <w:rPr>
          <w:color w:val="FF6600"/>
          <w:sz w:val="28"/>
          <w:szCs w:val="28"/>
        </w:rPr>
        <w:t>MRI (targeted indications)</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analysis of associated soft tissues is indicated in case of suspected muscular, ligamentous, or discal lesions associated with a condylar fracture.</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temporomandibular disc evaluation completes the assessment in articular forms, by assessing the position, integrity, and mobility of the disc, key elements for the functional prognosis in the medium and long term.</w:t>
      </w:r>
    </w:p>
    <w:p w:rsidR="007128A6" w:rsidRPr="007128A6" w:rsidRDefault="007128A6" w:rsidP="007128A6">
      <w:pPr>
        <w:pStyle w:val="Titre2"/>
        <w:spacing w:before="240" w:beforeAutospacing="0" w:after="240" w:afterAutospacing="0" w:line="400" w:lineRule="atLeast"/>
        <w:jc w:val="both"/>
        <w:rPr>
          <w:color w:val="FF0000"/>
          <w:sz w:val="30"/>
          <w:szCs w:val="30"/>
        </w:rPr>
      </w:pPr>
      <w:r>
        <w:rPr>
          <w:color w:val="FF0000"/>
          <w:sz w:val="30"/>
          <w:szCs w:val="30"/>
        </w:rPr>
        <w:t>VIII- Genetics- Biology</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absence of specific genetic determinism characterizes mandibular fractures, this pathology being exclusively due to an acquired traumatic mechanism without identified hereditary involvement.</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This absence of genetic background clearly distinguishes mandibular fractures from bone dysplasias, constitutional osteopathies, and primary skeletal fragility anomalies.</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absence of a specific serum biological marker is a constant element, with no blood parameter allowing for the identification or direct monitoring of the fracture as an autonomous biological entity.</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role of reparative bone biology, on the other hand, stands out as a major determinant of evolution, with consolidation relying on the coordinated activation of osteoblasts, osteoclasts, and the peri-fracture vascular network.</w:t>
      </w:r>
    </w:p>
    <w:p w:rsidR="007128A6" w:rsidRPr="007128A6" w:rsidRDefault="007128A6" w:rsidP="007128A6">
      <w:pPr>
        <w:pStyle w:val="NormalWeb"/>
        <w:spacing w:before="160" w:beforeAutospacing="0" w:after="0" w:afterAutospacing="0" w:line="400" w:lineRule="atLeast"/>
        <w:ind w:firstLine="425"/>
        <w:jc w:val="both"/>
        <w:rPr>
          <w:sz w:val="25"/>
          <w:szCs w:val="25"/>
        </w:rPr>
      </w:pPr>
      <w:proofErr w:type="gramStart"/>
      <w:proofErr w:type="gramEnd"/>
      <w:r>
        <w:rPr>
          <w:sz w:val="25"/>
          <w:szCs w:val="25"/>
        </w:rPr>
        <w:t>The timeline of mandibular bone healing is organized into successive phases of initial inflammation, formation of the fibrous then bony callus, and secondary remodeling.</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temporal windows of mandibular remodeling finally condition the progressive restoration of bone architecture and mechanical resistance, in close interaction with fracture stability and masticatory functional constraints.</w:t>
      </w:r>
    </w:p>
    <w:p w:rsidR="007128A6" w:rsidRPr="007128A6" w:rsidRDefault="007128A6" w:rsidP="007128A6">
      <w:pPr>
        <w:pStyle w:val="Titre2"/>
        <w:spacing w:before="240" w:beforeAutospacing="0" w:after="240" w:afterAutospacing="0" w:line="400" w:lineRule="atLeast"/>
        <w:jc w:val="both"/>
        <w:rPr>
          <w:color w:val="FF0000"/>
          <w:sz w:val="30"/>
          <w:szCs w:val="30"/>
        </w:rPr>
      </w:pPr>
      <w:r>
        <w:rPr>
          <w:color w:val="FF0000"/>
          <w:sz w:val="30"/>
          <w:szCs w:val="30"/>
        </w:rPr>
        <w:t>IX- Diagnosis</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anatomo-clinical diagnostic approach is based on the joint analysis of the traumatic context, the painful symptomatology, the masticatory functional disorders, and the signs of mandibular instability.</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This approach prioritizes the identification of a bone continuity disruption responsible for a misalignment of the mandibular arch and a characteristic occlusal impact.</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computed tomography radiological confirmation constitutes the central step of the diagnosis, allowing to visualize the fracture line, to specify its topography, orientation, and degree of displacement.</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This imaging also shows the potential involvement of the mandibular canal, the condyle, and the temporomandibular joint, key elements for management.</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evaluation of occlusal impact assesses the imbalance of dental arches, the loss of usual contacts, and the functional impact of the fracture on chewing.</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assessment of fracture stability finally allows distinguishing stable fractures from unstable or displaced forms, directly guiding the therapeutic strategy.</w:t>
      </w:r>
    </w:p>
    <w:p w:rsidR="007128A6" w:rsidRPr="007128A6" w:rsidRDefault="007128A6" w:rsidP="007128A6">
      <w:pPr>
        <w:pStyle w:val="Titre2"/>
        <w:spacing w:before="240" w:beforeAutospacing="0" w:after="240" w:afterAutospacing="0" w:line="400" w:lineRule="atLeast"/>
        <w:jc w:val="both"/>
        <w:rPr>
          <w:color w:val="FF0000"/>
          <w:sz w:val="30"/>
          <w:szCs w:val="30"/>
        </w:rPr>
      </w:pPr>
      <w:r>
        <w:rPr>
          <w:color w:val="FF0000"/>
          <w:sz w:val="30"/>
          <w:szCs w:val="30"/>
        </w:rPr>
        <w:t>Differential diagnosis</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Temporomandibular dislocation constitutes a major differential diagnosis, characterized by joint displacement without bone continuity rupture, with preservation of mandibular integrity.</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This entity is distinguished by the absence of a fracture line on imaging and by symptomatology dominated by joint blockage rather than bone instability.</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Mandibular contusion without fracture corresponds to a traumatic injury of the soft tissues and periosteum, responsible for pain and swelling without disorganization of the bone arch.</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This form is characterized by normal imaging or showing only inflammatory changes without cortical discontinuity.</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Non-traumatic osteolytic lesions include infectious, tumoral, or metabolic processes responsible for progressive bone destruction.</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These conditions differ by their non-acute progression, the absence of traumatic context, and radiological abnormalities incompatible with a mechanical fracture mechanism.</w:t>
      </w:r>
    </w:p>
    <w:p w:rsidR="007128A6" w:rsidRPr="007128A6" w:rsidRDefault="007128A6" w:rsidP="007128A6">
      <w:pPr>
        <w:pStyle w:val="Titre2"/>
        <w:spacing w:before="240" w:beforeAutospacing="0" w:after="240" w:afterAutospacing="0" w:line="400" w:lineRule="atLeast"/>
        <w:jc w:val="both"/>
        <w:rPr>
          <w:color w:val="FF0000"/>
          <w:sz w:val="30"/>
          <w:szCs w:val="30"/>
        </w:rPr>
      </w:pPr>
      <w:r>
        <w:rPr>
          <w:color w:val="FF0000"/>
          <w:sz w:val="30"/>
          <w:szCs w:val="30"/>
        </w:rPr>
        <w:t>XI- Treatment</w:t>
      </w:r>
    </w:p>
    <w:p w:rsidR="007128A6" w:rsidRPr="007128A6" w:rsidRDefault="007128A6" w:rsidP="007128A6">
      <w:pPr>
        <w:pStyle w:val="Titre3"/>
        <w:spacing w:before="240" w:beforeAutospacing="0" w:after="240" w:afterAutospacing="0" w:line="400" w:lineRule="atLeast"/>
        <w:ind w:firstLine="425"/>
        <w:jc w:val="both"/>
        <w:rPr>
          <w:color w:val="FF6600"/>
          <w:sz w:val="28"/>
          <w:szCs w:val="28"/>
        </w:rPr>
      </w:pPr>
      <w:r>
        <w:rPr>
          <w:color w:val="FF6600"/>
          <w:sz w:val="28"/>
          <w:szCs w:val="28"/>
        </w:rPr>
        <w:t>Conservative treatment</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Functional immobilization constitutes a therapeutic option indicated in minimally displaced, stable, and correctly aligned mandibular fractures, when the bony arch maintains a functional continuity compatible with controlled mastication.</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This strategy is based on limiting excessive mandibular movements, reducing mechanical stress on the fracture site, and maintaining relative stability conducive to spontaneous bone healing.</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management of dental occlusion occupies a central place, the objective being to preserve or restore harmonious inter-arch relationships in order to avoid any vicious consolidation responsible for secondary functional disorders.</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This conservative management is part of close clinical and radiological monitoring, aimed at early detection of any secondary instability or any misalignment.</w:t>
      </w:r>
    </w:p>
    <w:p w:rsidR="007128A6" w:rsidRPr="007128A6" w:rsidRDefault="007128A6" w:rsidP="007128A6">
      <w:pPr>
        <w:pStyle w:val="Titre3"/>
        <w:spacing w:before="240" w:beforeAutospacing="0" w:after="240" w:afterAutospacing="0" w:line="400" w:lineRule="atLeast"/>
        <w:ind w:firstLine="425"/>
        <w:jc w:val="both"/>
        <w:rPr>
          <w:color w:val="FF6600"/>
          <w:sz w:val="28"/>
          <w:szCs w:val="28"/>
        </w:rPr>
      </w:pPr>
      <w:r>
        <w:rPr>
          <w:color w:val="FF6600"/>
          <w:sz w:val="28"/>
          <w:szCs w:val="28"/>
        </w:rPr>
        <w:t>B- Surgical treatment</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anatomical reduction of the fragments represents the fundamental principle of surgical treatment, aiming to restore the morphological continuity of the mandibular arch and the correct alignment of the fractured segments.</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Osteosynthesis with plates and screws ensures rigid stabilization of the fracture site, allowing for early functional recovery while promoting quality bone healing.</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Specific condylar stabilization is necessary in fractures involving the neck or head of the mandible, in order to preserve joint kinetics and temporomandibular balance.</w:t>
      </w:r>
    </w:p>
    <w:p w:rsidR="007128A6" w:rsidRPr="007128A6" w:rsidRDefault="007128A6" w:rsidP="007128A6">
      <w:pPr>
        <w:pStyle w:val="Titre3"/>
        <w:spacing w:before="240" w:beforeAutospacing="0" w:after="240" w:afterAutospacing="0" w:line="400" w:lineRule="atLeast"/>
        <w:ind w:firstLine="425"/>
        <w:jc w:val="both"/>
        <w:rPr>
          <w:color w:val="FF6600"/>
          <w:sz w:val="28"/>
          <w:szCs w:val="28"/>
        </w:rPr>
      </w:pPr>
      <w:r>
        <w:rPr>
          <w:color w:val="FF6600"/>
          <w:sz w:val="28"/>
          <w:szCs w:val="28"/>
        </w:rPr>
        <w:t>C- Monitoring</w:t>
      </w:r>
    </w:p>
    <w:p w:rsidR="007128A6" w:rsidRPr="007128A6" w:rsidRDefault="007128A6" w:rsidP="007128A6">
      <w:pPr>
        <w:pStyle w:val="NormalWeb"/>
        <w:spacing w:before="160" w:beforeAutospacing="0" w:after="0" w:afterAutospacing="0" w:line="400" w:lineRule="atLeast"/>
        <w:ind w:firstLine="425"/>
        <w:jc w:val="both"/>
        <w:rPr>
          <w:sz w:val="25"/>
          <w:szCs w:val="25"/>
        </w:rPr>
      </w:pPr>
      <w:proofErr w:type="gramStart"/>
      <w:proofErr w:type="gramEnd"/>
      <w:r>
        <w:rPr>
          <w:sz w:val="25"/>
          <w:szCs w:val="25"/>
        </w:rPr>
        <w:t>Radiological follow-up of consolidation allows verification of bone callus progression and the stability of the therapeutic setup.</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Prevention of secondary complications aims to avoid infections, occlusal disorders, and lasting functional sequelae.</w:t>
      </w:r>
    </w:p>
    <w:p w:rsidR="007128A6" w:rsidRPr="007128A6" w:rsidRDefault="007128A6" w:rsidP="007128A6">
      <w:pPr>
        <w:pStyle w:val="Titre2"/>
        <w:spacing w:before="240" w:beforeAutospacing="0" w:after="240" w:afterAutospacing="0" w:line="400" w:lineRule="atLeast"/>
        <w:jc w:val="both"/>
        <w:rPr>
          <w:color w:val="FF0000"/>
          <w:sz w:val="30"/>
          <w:szCs w:val="30"/>
        </w:rPr>
      </w:pPr>
      <w:r>
        <w:rPr>
          <w:color w:val="FF0000"/>
          <w:sz w:val="30"/>
          <w:szCs w:val="30"/>
        </w:rPr>
        <w:t>XII- Prognosis</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masticatory functional prognosis closely depends on the precision of the anatomical reduction and the stability obtained during the initial management.</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A correct restoration of the mandibular arch conditions the recovery of effective and symmetrical chewing.</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risk of persistent occlusal disorders mainly occurs in cases of imperfect reduction, delayed management, or lack of post-therapeutic monitoring.</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Possible neurological complications mainly involve the inferior alveolar nerve, which can lead to transient or persistent sensory disturbances.</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Poor prognostic factors include comminuted fractures, complex condylar involvement, weakened bone condition, and non-compliance with therapeutic measures.</w:t>
      </w:r>
    </w:p>
    <w:p w:rsidR="007128A6" w:rsidRPr="007128A6" w:rsidRDefault="007128A6" w:rsidP="007128A6">
      <w:pPr>
        <w:pStyle w:val="Titre2"/>
        <w:spacing w:before="240" w:beforeAutospacing="0" w:after="240" w:afterAutospacing="0" w:line="400" w:lineRule="atLeast"/>
        <w:jc w:val="both"/>
        <w:rPr>
          <w:color w:val="FF0000"/>
          <w:sz w:val="30"/>
          <w:szCs w:val="30"/>
        </w:rPr>
      </w:pPr>
      <w:r>
        <w:rPr>
          <w:color w:val="FF0000"/>
          <w:sz w:val="30"/>
          <w:szCs w:val="30"/>
        </w:rPr>
        <w:t>XIII- Conclusion</w:t>
      </w:r>
    </w:p>
    <w:p w:rsidR="007128A6" w:rsidRPr="007128A6" w:rsidRDefault="007128A6" w:rsidP="007128A6">
      <w:pPr>
        <w:pStyle w:val="NormalWeb"/>
        <w:spacing w:before="160" w:beforeAutospacing="0" w:after="0" w:afterAutospacing="0" w:line="400" w:lineRule="atLeast"/>
        <w:ind w:firstLine="425"/>
        <w:jc w:val="both"/>
        <w:rPr>
          <w:sz w:val="25"/>
          <w:szCs w:val="25"/>
        </w:rPr>
      </w:pPr>
      <w:r>
        <w:rPr>
          <w:sz w:val="25"/>
          <w:szCs w:val="25"/>
        </w:rPr>
        <w:t>The anatomo-physiopathological coherence of mandibular fractures is imposed as that of traumatic injuries of the lower mobile facial bony arch, whose mechanical understanding, precise topographic recognition, and rigorous anatomical stabilization durably condition the restoration of occlusion, mastication, and facial balance.</w:t>
      </w:r>
    </w:p>
    <w:p w:rsidR="007128A6" w:rsidRPr="007128A6" w:rsidRDefault="007128A6" w:rsidP="007128A6">
      <w:pPr>
        <w:spacing w:before="160" w:after="0" w:line="400" w:lineRule="atLeast"/>
        <w:ind w:firstLine="425"/>
        <w:jc w:val="both"/>
        <w:outlineLvl w:val="1"/>
        <w:rPr>
          <w:rFonts w:ascii="Times New Roman" w:eastAsia="Times New Roman" w:hAnsi="Times New Roman" w:cs="Times New Roman"/>
          <w:i/>
          <w:iCs/>
          <w:sz w:val="25"/>
          <w:szCs w:val="25"/>
          <w:lang w:eastAsia="fr-FR"/>
        </w:rPr>
      </w:pPr>
    </w:p>
    <w:sectPr w:rsidR="007128A6" w:rsidRPr="007128A6" w:rsidSect="007128A6">
      <w:pgSz w:w="11906" w:h="16838"/>
      <w:pgMar w:top="1021" w:right="1021" w:bottom="1021" w:left="102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91AA6"/>
    <w:multiLevelType w:val="multilevel"/>
    <w:tmpl w:val="F1223F66"/>
    <w:lvl w:ilvl="0">
      <w:start w:val="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470506A"/>
    <w:multiLevelType w:val="multilevel"/>
    <w:tmpl w:val="72629B4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5C5579E"/>
    <w:multiLevelType w:val="multilevel"/>
    <w:tmpl w:val="411896A6"/>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A7940B6"/>
    <w:multiLevelType w:val="multilevel"/>
    <w:tmpl w:val="A90A94D6"/>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01B5D07"/>
    <w:multiLevelType w:val="multilevel"/>
    <w:tmpl w:val="59B4AB1A"/>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1532CAF"/>
    <w:multiLevelType w:val="multilevel"/>
    <w:tmpl w:val="E0F4724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C266E6F"/>
    <w:multiLevelType w:val="multilevel"/>
    <w:tmpl w:val="BE8EDECA"/>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DDC7E35"/>
    <w:multiLevelType w:val="multilevel"/>
    <w:tmpl w:val="F898775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E7444C7"/>
    <w:multiLevelType w:val="multilevel"/>
    <w:tmpl w:val="7DB28D50"/>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931412C"/>
    <w:multiLevelType w:val="multilevel"/>
    <w:tmpl w:val="EB90A71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AD705F8"/>
    <w:multiLevelType w:val="multilevel"/>
    <w:tmpl w:val="3926B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C3B5640"/>
    <w:multiLevelType w:val="multilevel"/>
    <w:tmpl w:val="44FCCC44"/>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7BE1195"/>
    <w:multiLevelType w:val="multilevel"/>
    <w:tmpl w:val="5B184464"/>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EC63F31"/>
    <w:multiLevelType w:val="multilevel"/>
    <w:tmpl w:val="E6141C2E"/>
    <w:lvl w:ilvl="0">
      <w:start w:val="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32859DD"/>
    <w:multiLevelType w:val="multilevel"/>
    <w:tmpl w:val="5D9EDD3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7CB41D1"/>
    <w:multiLevelType w:val="multilevel"/>
    <w:tmpl w:val="5A68CDFE"/>
    <w:lvl w:ilvl="0">
      <w:start w:val="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C2F3F17"/>
    <w:multiLevelType w:val="multilevel"/>
    <w:tmpl w:val="4F30334E"/>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0AC7E3D"/>
    <w:multiLevelType w:val="multilevel"/>
    <w:tmpl w:val="8D928F1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8BD5B6A"/>
    <w:multiLevelType w:val="multilevel"/>
    <w:tmpl w:val="92A672A6"/>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0C86C31"/>
    <w:multiLevelType w:val="multilevel"/>
    <w:tmpl w:val="D6144EA4"/>
    <w:lvl w:ilvl="0">
      <w:start w:val="6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23E782F"/>
    <w:multiLevelType w:val="multilevel"/>
    <w:tmpl w:val="FBA6A920"/>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53001CD"/>
    <w:multiLevelType w:val="multilevel"/>
    <w:tmpl w:val="7CE2600E"/>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DF62AC0"/>
    <w:multiLevelType w:val="multilevel"/>
    <w:tmpl w:val="73AAA448"/>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5"/>
  </w:num>
  <w:num w:numId="3">
    <w:abstractNumId w:val="1"/>
  </w:num>
  <w:num w:numId="4">
    <w:abstractNumId w:val="9"/>
  </w:num>
  <w:num w:numId="5">
    <w:abstractNumId w:val="14"/>
  </w:num>
  <w:num w:numId="6">
    <w:abstractNumId w:val="7"/>
  </w:num>
  <w:num w:numId="7">
    <w:abstractNumId w:val="17"/>
  </w:num>
  <w:num w:numId="8">
    <w:abstractNumId w:val="3"/>
  </w:num>
  <w:num w:numId="9">
    <w:abstractNumId w:val="8"/>
  </w:num>
  <w:num w:numId="10">
    <w:abstractNumId w:val="18"/>
  </w:num>
  <w:num w:numId="11">
    <w:abstractNumId w:val="20"/>
  </w:num>
  <w:num w:numId="12">
    <w:abstractNumId w:val="16"/>
  </w:num>
  <w:num w:numId="13">
    <w:abstractNumId w:val="12"/>
  </w:num>
  <w:num w:numId="14">
    <w:abstractNumId w:val="22"/>
  </w:num>
  <w:num w:numId="15">
    <w:abstractNumId w:val="21"/>
  </w:num>
  <w:num w:numId="16">
    <w:abstractNumId w:val="11"/>
  </w:num>
  <w:num w:numId="17">
    <w:abstractNumId w:val="19"/>
  </w:num>
  <w:num w:numId="18">
    <w:abstractNumId w:val="4"/>
  </w:num>
  <w:num w:numId="19">
    <w:abstractNumId w:val="13"/>
  </w:num>
  <w:num w:numId="20">
    <w:abstractNumId w:val="6"/>
  </w:num>
  <w:num w:numId="21">
    <w:abstractNumId w:val="15"/>
  </w:num>
  <w:num w:numId="22">
    <w:abstractNumId w:val="2"/>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28A6"/>
    <w:rsid w:val="007128A6"/>
    <w:rsid w:val="00EF23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7128A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7128A6"/>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7128A6"/>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128A6"/>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7128A6"/>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7128A6"/>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7128A6"/>
    <w:rPr>
      <w:b/>
      <w:bCs/>
    </w:rPr>
  </w:style>
  <w:style w:type="paragraph" w:styleId="NormalWeb">
    <w:name w:val="Normal (Web)"/>
    <w:basedOn w:val="Normal"/>
    <w:uiPriority w:val="99"/>
    <w:unhideWhenUsed/>
    <w:rsid w:val="007128A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7128A6"/>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7128A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7128A6"/>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7128A6"/>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128A6"/>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7128A6"/>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7128A6"/>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7128A6"/>
    <w:rPr>
      <w:b/>
      <w:bCs/>
    </w:rPr>
  </w:style>
  <w:style w:type="paragraph" w:styleId="NormalWeb">
    <w:name w:val="Normal (Web)"/>
    <w:basedOn w:val="Normal"/>
    <w:uiPriority w:val="99"/>
    <w:unhideWhenUsed/>
    <w:rsid w:val="007128A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7128A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8289850">
      <w:bodyDiv w:val="1"/>
      <w:marLeft w:val="0"/>
      <w:marRight w:val="0"/>
      <w:marTop w:val="0"/>
      <w:marBottom w:val="0"/>
      <w:divBdr>
        <w:top w:val="none" w:sz="0" w:space="0" w:color="auto"/>
        <w:left w:val="none" w:sz="0" w:space="0" w:color="auto"/>
        <w:bottom w:val="none" w:sz="0" w:space="0" w:color="auto"/>
        <w:right w:val="none" w:sz="0" w:space="0" w:color="auto"/>
      </w:divBdr>
    </w:div>
    <w:div w:id="342392374">
      <w:bodyDiv w:val="1"/>
      <w:marLeft w:val="0"/>
      <w:marRight w:val="0"/>
      <w:marTop w:val="0"/>
      <w:marBottom w:val="0"/>
      <w:divBdr>
        <w:top w:val="none" w:sz="0" w:space="0" w:color="auto"/>
        <w:left w:val="none" w:sz="0" w:space="0" w:color="auto"/>
        <w:bottom w:val="none" w:sz="0" w:space="0" w:color="auto"/>
        <w:right w:val="none" w:sz="0" w:space="0" w:color="auto"/>
      </w:divBdr>
    </w:div>
    <w:div w:id="479662342">
      <w:bodyDiv w:val="1"/>
      <w:marLeft w:val="0"/>
      <w:marRight w:val="0"/>
      <w:marTop w:val="0"/>
      <w:marBottom w:val="0"/>
      <w:divBdr>
        <w:top w:val="none" w:sz="0" w:space="0" w:color="auto"/>
        <w:left w:val="none" w:sz="0" w:space="0" w:color="auto"/>
        <w:bottom w:val="none" w:sz="0" w:space="0" w:color="auto"/>
        <w:right w:val="none" w:sz="0" w:space="0" w:color="auto"/>
      </w:divBdr>
      <w:divsChild>
        <w:div w:id="682779185">
          <w:marLeft w:val="0"/>
          <w:marRight w:val="0"/>
          <w:marTop w:val="0"/>
          <w:marBottom w:val="0"/>
          <w:divBdr>
            <w:top w:val="none" w:sz="0" w:space="0" w:color="auto"/>
            <w:left w:val="none" w:sz="0" w:space="0" w:color="auto"/>
            <w:bottom w:val="none" w:sz="0" w:space="0" w:color="auto"/>
            <w:right w:val="none" w:sz="0" w:space="0" w:color="auto"/>
          </w:divBdr>
          <w:divsChild>
            <w:div w:id="2105035018">
              <w:marLeft w:val="0"/>
              <w:marRight w:val="0"/>
              <w:marTop w:val="0"/>
              <w:marBottom w:val="0"/>
              <w:divBdr>
                <w:top w:val="none" w:sz="0" w:space="0" w:color="auto"/>
                <w:left w:val="none" w:sz="0" w:space="0" w:color="auto"/>
                <w:bottom w:val="none" w:sz="0" w:space="0" w:color="auto"/>
                <w:right w:val="none" w:sz="0" w:space="0" w:color="auto"/>
              </w:divBdr>
              <w:divsChild>
                <w:div w:id="1185361423">
                  <w:marLeft w:val="0"/>
                  <w:marRight w:val="0"/>
                  <w:marTop w:val="0"/>
                  <w:marBottom w:val="0"/>
                  <w:divBdr>
                    <w:top w:val="none" w:sz="0" w:space="0" w:color="auto"/>
                    <w:left w:val="none" w:sz="0" w:space="0" w:color="auto"/>
                    <w:bottom w:val="none" w:sz="0" w:space="0" w:color="auto"/>
                    <w:right w:val="none" w:sz="0" w:space="0" w:color="auto"/>
                  </w:divBdr>
                  <w:divsChild>
                    <w:div w:id="1540313499">
                      <w:marLeft w:val="0"/>
                      <w:marRight w:val="0"/>
                      <w:marTop w:val="0"/>
                      <w:marBottom w:val="0"/>
                      <w:divBdr>
                        <w:top w:val="none" w:sz="0" w:space="0" w:color="auto"/>
                        <w:left w:val="none" w:sz="0" w:space="0" w:color="auto"/>
                        <w:bottom w:val="none" w:sz="0" w:space="0" w:color="auto"/>
                        <w:right w:val="none" w:sz="0" w:space="0" w:color="auto"/>
                      </w:divBdr>
                      <w:divsChild>
                        <w:div w:id="723286917">
                          <w:marLeft w:val="0"/>
                          <w:marRight w:val="0"/>
                          <w:marTop w:val="0"/>
                          <w:marBottom w:val="0"/>
                          <w:divBdr>
                            <w:top w:val="none" w:sz="0" w:space="0" w:color="auto"/>
                            <w:left w:val="none" w:sz="0" w:space="0" w:color="auto"/>
                            <w:bottom w:val="none" w:sz="0" w:space="0" w:color="auto"/>
                            <w:right w:val="none" w:sz="0" w:space="0" w:color="auto"/>
                          </w:divBdr>
                          <w:divsChild>
                            <w:div w:id="797575944">
                              <w:marLeft w:val="0"/>
                              <w:marRight w:val="0"/>
                              <w:marTop w:val="0"/>
                              <w:marBottom w:val="0"/>
                              <w:divBdr>
                                <w:top w:val="none" w:sz="0" w:space="0" w:color="auto"/>
                                <w:left w:val="none" w:sz="0" w:space="0" w:color="auto"/>
                                <w:bottom w:val="none" w:sz="0" w:space="0" w:color="auto"/>
                                <w:right w:val="none" w:sz="0" w:space="0" w:color="auto"/>
                              </w:divBdr>
                              <w:divsChild>
                                <w:div w:id="182485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1544937">
      <w:bodyDiv w:val="1"/>
      <w:marLeft w:val="0"/>
      <w:marRight w:val="0"/>
      <w:marTop w:val="0"/>
      <w:marBottom w:val="0"/>
      <w:divBdr>
        <w:top w:val="none" w:sz="0" w:space="0" w:color="auto"/>
        <w:left w:val="none" w:sz="0" w:space="0" w:color="auto"/>
        <w:bottom w:val="none" w:sz="0" w:space="0" w:color="auto"/>
        <w:right w:val="none" w:sz="0" w:space="0" w:color="auto"/>
      </w:divBdr>
      <w:divsChild>
        <w:div w:id="496649602">
          <w:marLeft w:val="0"/>
          <w:marRight w:val="0"/>
          <w:marTop w:val="0"/>
          <w:marBottom w:val="0"/>
          <w:divBdr>
            <w:top w:val="none" w:sz="0" w:space="0" w:color="auto"/>
            <w:left w:val="none" w:sz="0" w:space="0" w:color="auto"/>
            <w:bottom w:val="none" w:sz="0" w:space="0" w:color="auto"/>
            <w:right w:val="none" w:sz="0" w:space="0" w:color="auto"/>
          </w:divBdr>
          <w:divsChild>
            <w:div w:id="1217398151">
              <w:marLeft w:val="0"/>
              <w:marRight w:val="0"/>
              <w:marTop w:val="0"/>
              <w:marBottom w:val="0"/>
              <w:divBdr>
                <w:top w:val="none" w:sz="0" w:space="0" w:color="auto"/>
                <w:left w:val="none" w:sz="0" w:space="0" w:color="auto"/>
                <w:bottom w:val="none" w:sz="0" w:space="0" w:color="auto"/>
                <w:right w:val="none" w:sz="0" w:space="0" w:color="auto"/>
              </w:divBdr>
              <w:divsChild>
                <w:div w:id="1522277910">
                  <w:marLeft w:val="0"/>
                  <w:marRight w:val="0"/>
                  <w:marTop w:val="0"/>
                  <w:marBottom w:val="0"/>
                  <w:divBdr>
                    <w:top w:val="none" w:sz="0" w:space="0" w:color="auto"/>
                    <w:left w:val="none" w:sz="0" w:space="0" w:color="auto"/>
                    <w:bottom w:val="none" w:sz="0" w:space="0" w:color="auto"/>
                    <w:right w:val="none" w:sz="0" w:space="0" w:color="auto"/>
                  </w:divBdr>
                  <w:divsChild>
                    <w:div w:id="185682775">
                      <w:marLeft w:val="0"/>
                      <w:marRight w:val="0"/>
                      <w:marTop w:val="0"/>
                      <w:marBottom w:val="0"/>
                      <w:divBdr>
                        <w:top w:val="none" w:sz="0" w:space="0" w:color="auto"/>
                        <w:left w:val="none" w:sz="0" w:space="0" w:color="auto"/>
                        <w:bottom w:val="none" w:sz="0" w:space="0" w:color="auto"/>
                        <w:right w:val="none" w:sz="0" w:space="0" w:color="auto"/>
                      </w:divBdr>
                      <w:divsChild>
                        <w:div w:id="1817599723">
                          <w:marLeft w:val="0"/>
                          <w:marRight w:val="0"/>
                          <w:marTop w:val="0"/>
                          <w:marBottom w:val="0"/>
                          <w:divBdr>
                            <w:top w:val="none" w:sz="0" w:space="0" w:color="auto"/>
                            <w:left w:val="none" w:sz="0" w:space="0" w:color="auto"/>
                            <w:bottom w:val="none" w:sz="0" w:space="0" w:color="auto"/>
                            <w:right w:val="none" w:sz="0" w:space="0" w:color="auto"/>
                          </w:divBdr>
                          <w:divsChild>
                            <w:div w:id="590627931">
                              <w:marLeft w:val="0"/>
                              <w:marRight w:val="0"/>
                              <w:marTop w:val="0"/>
                              <w:marBottom w:val="0"/>
                              <w:divBdr>
                                <w:top w:val="none" w:sz="0" w:space="0" w:color="auto"/>
                                <w:left w:val="none" w:sz="0" w:space="0" w:color="auto"/>
                                <w:bottom w:val="none" w:sz="0" w:space="0" w:color="auto"/>
                                <w:right w:val="none" w:sz="0" w:space="0" w:color="auto"/>
                              </w:divBdr>
                              <w:divsChild>
                                <w:div w:id="168088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7629757">
      <w:bodyDiv w:val="1"/>
      <w:marLeft w:val="0"/>
      <w:marRight w:val="0"/>
      <w:marTop w:val="0"/>
      <w:marBottom w:val="0"/>
      <w:divBdr>
        <w:top w:val="none" w:sz="0" w:space="0" w:color="auto"/>
        <w:left w:val="none" w:sz="0" w:space="0" w:color="auto"/>
        <w:bottom w:val="none" w:sz="0" w:space="0" w:color="auto"/>
        <w:right w:val="none" w:sz="0" w:space="0" w:color="auto"/>
      </w:divBdr>
    </w:div>
    <w:div w:id="1364094004">
      <w:bodyDiv w:val="1"/>
      <w:marLeft w:val="0"/>
      <w:marRight w:val="0"/>
      <w:marTop w:val="0"/>
      <w:marBottom w:val="0"/>
      <w:divBdr>
        <w:top w:val="none" w:sz="0" w:space="0" w:color="auto"/>
        <w:left w:val="none" w:sz="0" w:space="0" w:color="auto"/>
        <w:bottom w:val="none" w:sz="0" w:space="0" w:color="auto"/>
        <w:right w:val="none" w:sz="0" w:space="0" w:color="auto"/>
      </w:divBdr>
    </w:div>
    <w:div w:id="1813402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10</Pages>
  <Words>3228</Words>
  <Characters>17754</Characters>
  <Application>Microsoft Office Word</Application>
  <DocSecurity>0</DocSecurity>
  <Lines>147</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20941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HABIB</dc:creator>
  <cp:lastModifiedBy>HABIB</cp:lastModifiedBy>
  <cp:revision>1</cp:revision>
  <dcterms:created xsi:type="dcterms:W3CDTF">2026-01-19T15:07:00Z</dcterms:created>
  <dcterms:modified xsi:type="dcterms:W3CDTF">2026-01-19T15:21:00Z</dcterms:modified>
</cp:coreProperties>
</file>