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Submission Report</w:t>
      </w:r>
    </w:p>
    <w:p>
      <w:r>
        <w:t>Paddy Research Agent — Agentic AI Research Support Tool</w:t>
      </w:r>
    </w:p>
    <w:p>
      <w:r>
        <w:t>Research domain: Lightweight CNNs vs Hybrid Vision Transformers for Paddy Disease Detection on Edge Devices in South Asian Agriculture.</w:t>
      </w:r>
    </w:p>
    <w:p>
      <w:pPr>
        <w:pStyle w:val="Heading1"/>
      </w:pPr>
      <w:r>
        <w:t>1. Executive Summary</w:t>
      </w:r>
    </w:p>
    <w:p>
      <w:r>
        <w:t>This project implements Option B, a Research Support Tool, around the registered paddy disease detection research topic. The system retrieves domain evidence, plans a literature-analysis task, synthesizes an evidence-grounded response and performs a separate quality-review pass.</w:t>
      </w:r>
    </w:p>
    <w:p>
      <w:pPr>
        <w:pStyle w:val="Heading1"/>
      </w:pPr>
      <w:r>
        <w:t>2. Requirements Mapping</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Implementation</w:t>
            </w:r>
          </w:p>
        </w:tc>
      </w:tr>
      <w:tr>
        <w:tc>
          <w:tcPr>
            <w:tcW w:type="dxa" w:w="4320"/>
          </w:tcPr>
          <w:p>
            <w:r>
              <w:t>≥3 agentic patterns</w:t>
            </w:r>
          </w:p>
        </w:tc>
        <w:tc>
          <w:tcPr>
            <w:tcW w:type="dxa" w:w="4320"/>
          </w:tcPr>
          <w:p>
            <w:r>
              <w:t>Planner–Executor, Tool-using RAG, Reflection/Critic</w:t>
            </w:r>
          </w:p>
        </w:tc>
      </w:tr>
      <w:tr>
        <w:tc>
          <w:tcPr>
            <w:tcW w:type="dxa" w:w="4320"/>
          </w:tcPr>
          <w:p>
            <w:r>
              <w:t>≥2 agents</w:t>
            </w:r>
          </w:p>
        </w:tc>
        <w:tc>
          <w:tcPr>
            <w:tcW w:type="dxa" w:w="4320"/>
          </w:tcPr>
          <w:p>
            <w:r>
              <w:t>ResearchPlanner, EvidenceAnalyst, QualityReviewer</w:t>
            </w:r>
          </w:p>
        </w:tc>
      </w:tr>
      <w:tr>
        <w:tc>
          <w:tcPr>
            <w:tcW w:type="dxa" w:w="4320"/>
          </w:tcPr>
          <w:p>
            <w:r>
              <w:t>Agent communication</w:t>
            </w:r>
          </w:p>
        </w:tc>
        <w:tc>
          <w:tcPr>
            <w:tcW w:type="dxa" w:w="4320"/>
          </w:tcPr>
          <w:p>
            <w:r>
              <w:t>Pydantic AgentMessage with sender, recipient, type, payload and trace ID</w:t>
            </w:r>
          </w:p>
        </w:tc>
      </w:tr>
      <w:tr>
        <w:tc>
          <w:tcPr>
            <w:tcW w:type="dxa" w:w="4320"/>
          </w:tcPr>
          <w:p>
            <w:r>
              <w:t>≥2 models</w:t>
            </w:r>
          </w:p>
        </w:tc>
        <w:tc>
          <w:tcPr>
            <w:tcW w:type="dxa" w:w="4320"/>
          </w:tcPr>
          <w:p>
            <w:r>
              <w:t>OpenRouter model for planning/synthesis and Groq model for review</w:t>
            </w:r>
          </w:p>
        </w:tc>
      </w:tr>
      <w:tr>
        <w:tc>
          <w:tcPr>
            <w:tcW w:type="dxa" w:w="4320"/>
          </w:tcPr>
          <w:p>
            <w:r>
              <w:t>RAG</w:t>
            </w:r>
          </w:p>
        </w:tc>
        <w:tc>
          <w:tcPr>
            <w:tcW w:type="dxa" w:w="4320"/>
          </w:tcPr>
          <w:p>
            <w:r>
              <w:t>24 domain-specific source cards + TF-IDF retrieval</w:t>
            </w:r>
          </w:p>
        </w:tc>
      </w:tr>
      <w:tr>
        <w:tc>
          <w:tcPr>
            <w:tcW w:type="dxa" w:w="4320"/>
          </w:tcPr>
          <w:p>
            <w:r>
              <w:t>Retrieval evaluation</w:t>
            </w:r>
          </w:p>
        </w:tc>
        <w:tc>
          <w:tcPr>
            <w:tcW w:type="dxa" w:w="4320"/>
          </w:tcPr>
          <w:p>
            <w:r>
              <w:t>5 fixed queries with Precision@5 benchmark</w:t>
            </w:r>
          </w:p>
        </w:tc>
      </w:tr>
      <w:tr>
        <w:tc>
          <w:tcPr>
            <w:tcW w:type="dxa" w:w="4320"/>
          </w:tcPr>
          <w:p>
            <w:r>
              <w:t>Streamlit</w:t>
            </w:r>
          </w:p>
        </w:tc>
        <w:tc>
          <w:tcPr>
            <w:tcW w:type="dxa" w:w="4320"/>
          </w:tcPr>
          <w:p>
            <w:r>
              <w:t>app.py provides workflow, trace, evidence and reviewer views</w:t>
            </w:r>
          </w:p>
        </w:tc>
      </w:tr>
      <w:tr>
        <w:tc>
          <w:tcPr>
            <w:tcW w:type="dxa" w:w="4320"/>
          </w:tcPr>
          <w:p>
            <w:r>
              <w:t>Secrets</w:t>
            </w:r>
          </w:p>
        </w:tc>
        <w:tc>
          <w:tcPr>
            <w:tcW w:type="dxa" w:w="4320"/>
          </w:tcPr>
          <w:p>
            <w:r>
              <w:t>Environment variables / Streamlit secrets</w:t>
            </w:r>
          </w:p>
        </w:tc>
      </w:tr>
      <w:tr>
        <w:tc>
          <w:tcPr>
            <w:tcW w:type="dxa" w:w="4320"/>
          </w:tcPr>
          <w:p>
            <w:r>
              <w:t>GitHub</w:t>
            </w:r>
          </w:p>
        </w:tc>
        <w:tc>
          <w:tcPr>
            <w:tcW w:type="dxa" w:w="4320"/>
          </w:tcPr>
          <w:p>
            <w:r>
              <w:t>15-commit feature-branch workflow documented; student must perform remote PRs</w:t>
            </w:r>
          </w:p>
        </w:tc>
      </w:tr>
      <w:tr>
        <w:tc>
          <w:tcPr>
            <w:tcW w:type="dxa" w:w="4320"/>
          </w:tcPr>
          <w:p>
            <w:r>
              <w:t>README</w:t>
            </w:r>
          </w:p>
        </w:tc>
        <w:tc>
          <w:tcPr>
            <w:tcW w:type="dxa" w:w="4320"/>
          </w:tcPr>
          <w:p>
            <w:r>
              <w:t>Setup, architecture, models, RAG, evaluation, limitations and demo instructions</w:t>
            </w:r>
          </w:p>
        </w:tc>
      </w:tr>
    </w:tbl>
    <w:p>
      <w:pPr>
        <w:pStyle w:val="Heading1"/>
      </w:pPr>
      <w:r>
        <w:t>3. Agent Architecture</w:t>
      </w:r>
    </w:p>
    <w:p>
      <w:pPr>
        <w:pStyle w:val="ListBullet"/>
      </w:pPr>
      <w:r>
        <w:t>ResearchPlanner: decomposes the question and creates retrieval queries.</w:t>
      </w:r>
    </w:p>
    <w:p>
      <w:pPr>
        <w:pStyle w:val="ListBullet"/>
      </w:pPr>
      <w:r>
        <w:t>EvidenceAnalyst: retrieves the most relevant source cards and drafts an evidence-grounded report.</w:t>
      </w:r>
    </w:p>
    <w:p>
      <w:pPr>
        <w:pStyle w:val="ListBullet"/>
      </w:pPr>
      <w:r>
        <w:t>QualityReviewer: independently reviews citation coverage, unsupported claims and limitations.</w:t>
      </w:r>
    </w:p>
    <w:p>
      <w:r>
        <w:t>Structured messages create an auditable sequence from planning to evidence retrieval, synthesis and review.</w:t>
      </w:r>
    </w:p>
    <w:p>
      <w:pPr>
        <w:pStyle w:val="Heading1"/>
      </w:pPr>
      <w:r>
        <w:t>4. RAG Design</w:t>
      </w:r>
    </w:p>
    <w:p>
      <w:r>
        <w:t>The corpus contains 24 curated source cards covering paddy datasets, plant disease datasets, lightweight CNNs, Vision Transformers, hybrid architectures, edge deployment, optimization and explainability. Retrieval uses TF-IDF with unigram/bigram features and cosine similarity. The design is intentionally lightweight and reproducible for coursework.</w:t>
      </w:r>
    </w:p>
    <w:p>
      <w:pPr>
        <w:pStyle w:val="Heading1"/>
      </w:pPr>
      <w:r>
        <w:t>5. Evaluation</w:t>
      </w:r>
    </w:p>
    <w:p>
      <w:r>
        <w:t>Five retrieval test queries are included. The evaluation script reports Precision@5 and prints the retrieved source IDs. Manual relevance assessment should accompany the numeric result during the demonstration.</w:t>
      </w:r>
    </w:p>
    <w:p>
      <w:pPr>
        <w:pStyle w:val="Heading1"/>
      </w:pPr>
      <w:r>
        <w:t>6. Model Orchestration</w:t>
      </w:r>
    </w:p>
    <w:p>
      <w:r>
        <w:t>The default implementation assigns planning and evidence synthesis to OpenRouter and review to Groq. Provider/model IDs are environment variables so the student can use the models available to their account. Actual cost and latency should be recorded during the final run because provider pricing and network latency are dynamic.</w:t>
      </w:r>
    </w:p>
    <w:p>
      <w:pPr>
        <w:pStyle w:val="Heading1"/>
      </w:pPr>
      <w:r>
        <w:t>7. Security</w:t>
      </w:r>
    </w:p>
    <w:p>
      <w:r>
        <w:t>Secrets are loaded from environment variables or Streamlit secrets. The repository contains only `.env.example`; no real API keys should be committed.</w:t>
      </w:r>
    </w:p>
    <w:p>
      <w:pPr>
        <w:pStyle w:val="Heading1"/>
      </w:pPr>
      <w:r>
        <w:t>8. Limitations</w:t>
      </w:r>
    </w:p>
    <w:p>
      <w:pPr>
        <w:pStyle w:val="ListBullet"/>
      </w:pPr>
      <w:r>
        <w:t>The corpus is a coursework research-support corpus rather than a systematic review.</w:t>
      </w:r>
    </w:p>
    <w:p>
      <w:pPr>
        <w:pStyle w:val="ListBullet"/>
      </w:pPr>
      <w:r>
        <w:t>TF-IDF is lightweight but does not provide the semantic retrieval quality of modern embedding models.</w:t>
      </w:r>
    </w:p>
    <w:p>
      <w:pPr>
        <w:pStyle w:val="ListBullet"/>
      </w:pPr>
      <w:r>
        <w:t>LLM review reduces risk but does not guarantee factual correctness.</w:t>
      </w:r>
    </w:p>
    <w:p>
      <w:pPr>
        <w:pStyle w:val="ListBullet"/>
      </w:pPr>
      <w:r>
        <w:t>Edge latency and model-size claims for the actual paddy classifier must be experimentally measured on the target hardware.</w:t>
      </w:r>
    </w:p>
    <w:p>
      <w:pPr>
        <w:pStyle w:val="Heading1"/>
      </w:pPr>
      <w:r>
        <w:t>9. Final Demonstration</w:t>
      </w:r>
    </w:p>
    <w:p>
      <w:r>
        <w:t>Use docs/DEMO_SCRIPT.md for a five-minute walkthrough. Before submission, configure API secrets, run the app, capture screenshots, and record the actual model IDs and measured latency.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