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DF055" w14:textId="77777777" w:rsidR="00D87C7B" w:rsidRPr="00D87C7B" w:rsidRDefault="00D87C7B" w:rsidP="00D87C7B">
      <w:pPr>
        <w:rPr>
          <w:b/>
          <w:bCs/>
          <w:sz w:val="28"/>
          <w:szCs w:val="28"/>
        </w:rPr>
      </w:pPr>
      <w:proofErr w:type="spellStart"/>
      <w:r w:rsidRPr="00D87C7B">
        <w:rPr>
          <w:b/>
          <w:bCs/>
          <w:sz w:val="28"/>
          <w:szCs w:val="28"/>
        </w:rPr>
        <w:t>Knowbase</w:t>
      </w:r>
      <w:proofErr w:type="spellEnd"/>
      <w:r w:rsidRPr="00D87C7B">
        <w:rPr>
          <w:b/>
          <w:bCs/>
          <w:sz w:val="28"/>
          <w:szCs w:val="28"/>
        </w:rPr>
        <w:t xml:space="preserve"> System Architecture Overview</w:t>
      </w:r>
    </w:p>
    <w:p w14:paraId="50E9E643" w14:textId="77777777" w:rsidR="00D87C7B" w:rsidRPr="00D87C7B" w:rsidRDefault="00D87C7B" w:rsidP="00D87C7B">
      <w:pPr>
        <w:rPr>
          <w:b/>
          <w:bCs/>
          <w:sz w:val="28"/>
          <w:szCs w:val="28"/>
        </w:rPr>
      </w:pPr>
      <w:r w:rsidRPr="00D87C7B">
        <w:rPr>
          <w:b/>
          <w:bCs/>
          <w:sz w:val="28"/>
          <w:szCs w:val="28"/>
        </w:rPr>
        <w:t>High-Level Architecture</w:t>
      </w:r>
    </w:p>
    <w:p w14:paraId="38337C12" w14:textId="77777777" w:rsidR="00D87C7B" w:rsidRPr="00D87C7B" w:rsidRDefault="00D87C7B" w:rsidP="00D87C7B">
      <w:pPr>
        <w:rPr>
          <w:sz w:val="28"/>
          <w:szCs w:val="28"/>
        </w:rPr>
      </w:pPr>
      <w:r w:rsidRPr="00D87C7B">
        <w:rPr>
          <w:sz w:val="28"/>
          <w:szCs w:val="28"/>
        </w:rPr>
        <w:t xml:space="preserve">The </w:t>
      </w:r>
      <w:proofErr w:type="spellStart"/>
      <w:r w:rsidRPr="00D87C7B">
        <w:rPr>
          <w:sz w:val="28"/>
          <w:szCs w:val="28"/>
        </w:rPr>
        <w:t>Knowbase</w:t>
      </w:r>
      <w:proofErr w:type="spellEnd"/>
      <w:r w:rsidRPr="00D87C7B">
        <w:rPr>
          <w:sz w:val="28"/>
          <w:szCs w:val="28"/>
        </w:rPr>
        <w:t xml:space="preserve"> platform follows a modular, service-oriented architecture. The core components are the ingestion service, the vector database, the query service, and the web application frontend. These services communicate via secure, internal APIs and are containerized for deployment flexibility.</w:t>
      </w:r>
    </w:p>
    <w:p w14:paraId="2A2B8F50" w14:textId="77777777" w:rsidR="00D87C7B" w:rsidRPr="00D87C7B" w:rsidRDefault="00D87C7B" w:rsidP="00D87C7B">
      <w:pPr>
        <w:rPr>
          <w:b/>
          <w:bCs/>
          <w:sz w:val="28"/>
          <w:szCs w:val="28"/>
        </w:rPr>
      </w:pPr>
      <w:r w:rsidRPr="00D87C7B">
        <w:rPr>
          <w:b/>
          <w:bCs/>
          <w:sz w:val="28"/>
          <w:szCs w:val="28"/>
        </w:rPr>
        <w:t>Ingestion Pipeline</w:t>
      </w:r>
    </w:p>
    <w:p w14:paraId="6425C28F" w14:textId="77777777" w:rsidR="00D87C7B" w:rsidRPr="00D87C7B" w:rsidRDefault="00D87C7B" w:rsidP="00D87C7B">
      <w:pPr>
        <w:rPr>
          <w:sz w:val="28"/>
          <w:szCs w:val="28"/>
        </w:rPr>
      </w:pPr>
      <w:r w:rsidRPr="00D87C7B">
        <w:rPr>
          <w:sz w:val="28"/>
          <w:szCs w:val="28"/>
        </w:rPr>
        <w:t>The ingestion pipeline is an asynchronous, multi-stage process. Uploaded documents are first validated and then passed to a text extraction module. The extracted text is chunked, converted into vector embeddings using a machine learning model, and finally persisted to the vector store. The pipeline is designed for scalability and fault tolerance.</w:t>
      </w:r>
    </w:p>
    <w:p w14:paraId="17A5C144" w14:textId="77777777" w:rsidR="00D87C7B" w:rsidRPr="00D87C7B" w:rsidRDefault="00D87C7B" w:rsidP="00D87C7B">
      <w:pPr>
        <w:rPr>
          <w:b/>
          <w:bCs/>
          <w:sz w:val="28"/>
          <w:szCs w:val="28"/>
        </w:rPr>
      </w:pPr>
      <w:r w:rsidRPr="00D87C7B">
        <w:rPr>
          <w:b/>
          <w:bCs/>
          <w:sz w:val="28"/>
          <w:szCs w:val="28"/>
        </w:rPr>
        <w:t>Vector Storage Design</w:t>
      </w:r>
    </w:p>
    <w:p w14:paraId="4CF414F6" w14:textId="77777777" w:rsidR="00D87C7B" w:rsidRPr="00D87C7B" w:rsidRDefault="00D87C7B" w:rsidP="00D87C7B">
      <w:pPr>
        <w:rPr>
          <w:sz w:val="28"/>
          <w:szCs w:val="28"/>
        </w:rPr>
      </w:pPr>
      <w:r w:rsidRPr="00D87C7B">
        <w:rPr>
          <w:sz w:val="28"/>
          <w:szCs w:val="28"/>
        </w:rPr>
        <w:t xml:space="preserve">We utilize </w:t>
      </w:r>
      <w:proofErr w:type="spellStart"/>
      <w:r w:rsidRPr="00D87C7B">
        <w:rPr>
          <w:sz w:val="28"/>
          <w:szCs w:val="28"/>
        </w:rPr>
        <w:t>ChromaDB</w:t>
      </w:r>
      <w:proofErr w:type="spellEnd"/>
      <w:r w:rsidRPr="00D87C7B">
        <w:rPr>
          <w:sz w:val="28"/>
          <w:szCs w:val="28"/>
        </w:rPr>
        <w:t xml:space="preserve"> as our core vector store for its performance and flexibility. Vectors are indexed using the HNSW (Hierarchical Navigable Small World) algorithm for approximate nearest neighbor search, which provides an optimal balance of speed and recall for our use case.</w:t>
      </w:r>
    </w:p>
    <w:p w14:paraId="4AD4F13E" w14:textId="77777777" w:rsidR="00D87C7B" w:rsidRPr="00D87C7B" w:rsidRDefault="00D87C7B" w:rsidP="00D87C7B">
      <w:pPr>
        <w:rPr>
          <w:sz w:val="28"/>
          <w:szCs w:val="28"/>
        </w:rPr>
      </w:pPr>
      <w:r w:rsidRPr="00D87C7B">
        <w:rPr>
          <w:b/>
          <w:bCs/>
          <w:sz w:val="28"/>
          <w:szCs w:val="28"/>
        </w:rPr>
        <w:t xml:space="preserve">To enforce strict multi-tenant data isolation at the storage layer: Each tenant’s vectors are stored in a separate logical </w:t>
      </w:r>
      <w:proofErr w:type="spellStart"/>
      <w:r w:rsidRPr="00D87C7B">
        <w:rPr>
          <w:b/>
          <w:bCs/>
          <w:sz w:val="28"/>
          <w:szCs w:val="28"/>
        </w:rPr>
        <w:t>ChromaDB</w:t>
      </w:r>
      <w:proofErr w:type="spellEnd"/>
      <w:r w:rsidRPr="00D87C7B">
        <w:rPr>
          <w:b/>
          <w:bCs/>
          <w:sz w:val="28"/>
          <w:szCs w:val="28"/>
        </w:rPr>
        <w:t xml:space="preserve"> collection, with access gated by a tenant-specific authentication key.</w:t>
      </w:r>
    </w:p>
    <w:p w14:paraId="6637A320" w14:textId="77777777" w:rsidR="00D87C7B" w:rsidRPr="00D87C7B" w:rsidRDefault="00D87C7B" w:rsidP="00D87C7B">
      <w:pPr>
        <w:rPr>
          <w:b/>
          <w:bCs/>
          <w:sz w:val="28"/>
          <w:szCs w:val="28"/>
        </w:rPr>
      </w:pPr>
      <w:r w:rsidRPr="00D87C7B">
        <w:rPr>
          <w:b/>
          <w:bCs/>
          <w:sz w:val="28"/>
          <w:szCs w:val="28"/>
        </w:rPr>
        <w:t>Multi-Tenant Isolation Strategy</w:t>
      </w:r>
    </w:p>
    <w:p w14:paraId="7F79E706" w14:textId="77777777" w:rsidR="00D87C7B" w:rsidRPr="00D87C7B" w:rsidRDefault="00D87C7B" w:rsidP="00D87C7B">
      <w:pPr>
        <w:rPr>
          <w:sz w:val="28"/>
          <w:szCs w:val="28"/>
        </w:rPr>
      </w:pPr>
      <w:r w:rsidRPr="00D87C7B">
        <w:rPr>
          <w:sz w:val="28"/>
          <w:szCs w:val="28"/>
        </w:rPr>
        <w:t>Isolation is implemented at multiple levels: network, application, and data. Each tenant's requests are tagged with a unique identifier that is propagated through all service calls. This ID is used to enforce data access boundaries in every component, from the API gateway to the database queries.</w:t>
      </w:r>
    </w:p>
    <w:p w14:paraId="02A0E0AC" w14:textId="77777777" w:rsidR="00D87C7B" w:rsidRPr="00D87C7B" w:rsidRDefault="00D87C7B" w:rsidP="00D87C7B">
      <w:pPr>
        <w:rPr>
          <w:b/>
          <w:bCs/>
          <w:sz w:val="28"/>
          <w:szCs w:val="28"/>
        </w:rPr>
      </w:pPr>
      <w:r w:rsidRPr="00D87C7B">
        <w:rPr>
          <w:b/>
          <w:bCs/>
          <w:sz w:val="28"/>
          <w:szCs w:val="28"/>
        </w:rPr>
        <w:t>Limitations &amp; Trade-offs</w:t>
      </w:r>
    </w:p>
    <w:p w14:paraId="70D7D3F7" w14:textId="77777777" w:rsidR="00D87C7B" w:rsidRPr="00D87C7B" w:rsidRDefault="00D87C7B" w:rsidP="00D87C7B">
      <w:pPr>
        <w:rPr>
          <w:sz w:val="28"/>
          <w:szCs w:val="28"/>
        </w:rPr>
      </w:pPr>
      <w:r w:rsidRPr="00D87C7B">
        <w:rPr>
          <w:sz w:val="28"/>
          <w:szCs w:val="28"/>
        </w:rPr>
        <w:t xml:space="preserve">The retrieval accuracy is dependent on the quality of the source documents and the chunking strategy. Large, monolithic documents may not yield optimal results if not properly structured. The system is designed for textual knowledge retrieval </w:t>
      </w:r>
      <w:r w:rsidRPr="00D87C7B">
        <w:rPr>
          <w:sz w:val="28"/>
          <w:szCs w:val="28"/>
        </w:rPr>
        <w:lastRenderedPageBreak/>
        <w:t>and does not currently perform complex analysis or inference beyond the provided context.</w:t>
      </w:r>
    </w:p>
    <w:p w14:paraId="30F106F7" w14:textId="77777777" w:rsidR="00000000" w:rsidRPr="00D87C7B" w:rsidRDefault="00000000">
      <w:pPr>
        <w:rPr>
          <w:sz w:val="28"/>
          <w:szCs w:val="28"/>
        </w:rPr>
      </w:pPr>
    </w:p>
    <w:sectPr w:rsidR="00926CA0" w:rsidRPr="00D87C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C7B"/>
    <w:rsid w:val="001E252B"/>
    <w:rsid w:val="00594FE1"/>
    <w:rsid w:val="00D455D1"/>
    <w:rsid w:val="00D87C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63AE8"/>
  <w15:chartTrackingRefBased/>
  <w15:docId w15:val="{BA4484F5-D963-449A-8C54-C3480900F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C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7C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7C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7C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C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C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7C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7C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7C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C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C7B"/>
    <w:rPr>
      <w:rFonts w:eastAsiaTheme="majorEastAsia" w:cstheme="majorBidi"/>
      <w:color w:val="272727" w:themeColor="text1" w:themeTint="D8"/>
    </w:rPr>
  </w:style>
  <w:style w:type="paragraph" w:styleId="Title">
    <w:name w:val="Title"/>
    <w:basedOn w:val="Normal"/>
    <w:next w:val="Normal"/>
    <w:link w:val="TitleChar"/>
    <w:uiPriority w:val="10"/>
    <w:qFormat/>
    <w:rsid w:val="00D87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C7B"/>
    <w:pPr>
      <w:spacing w:before="160"/>
      <w:jc w:val="center"/>
    </w:pPr>
    <w:rPr>
      <w:i/>
      <w:iCs/>
      <w:color w:val="404040" w:themeColor="text1" w:themeTint="BF"/>
    </w:rPr>
  </w:style>
  <w:style w:type="character" w:customStyle="1" w:styleId="QuoteChar">
    <w:name w:val="Quote Char"/>
    <w:basedOn w:val="DefaultParagraphFont"/>
    <w:link w:val="Quote"/>
    <w:uiPriority w:val="29"/>
    <w:rsid w:val="00D87C7B"/>
    <w:rPr>
      <w:i/>
      <w:iCs/>
      <w:color w:val="404040" w:themeColor="text1" w:themeTint="BF"/>
    </w:rPr>
  </w:style>
  <w:style w:type="paragraph" w:styleId="ListParagraph">
    <w:name w:val="List Paragraph"/>
    <w:basedOn w:val="Normal"/>
    <w:uiPriority w:val="34"/>
    <w:qFormat/>
    <w:rsid w:val="00D87C7B"/>
    <w:pPr>
      <w:ind w:left="720"/>
      <w:contextualSpacing/>
    </w:pPr>
  </w:style>
  <w:style w:type="character" w:styleId="IntenseEmphasis">
    <w:name w:val="Intense Emphasis"/>
    <w:basedOn w:val="DefaultParagraphFont"/>
    <w:uiPriority w:val="21"/>
    <w:qFormat/>
    <w:rsid w:val="00D87C7B"/>
    <w:rPr>
      <w:i/>
      <w:iCs/>
      <w:color w:val="2F5496" w:themeColor="accent1" w:themeShade="BF"/>
    </w:rPr>
  </w:style>
  <w:style w:type="paragraph" w:styleId="IntenseQuote">
    <w:name w:val="Intense Quote"/>
    <w:basedOn w:val="Normal"/>
    <w:next w:val="Normal"/>
    <w:link w:val="IntenseQuoteChar"/>
    <w:uiPriority w:val="30"/>
    <w:qFormat/>
    <w:rsid w:val="00D87C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C7B"/>
    <w:rPr>
      <w:i/>
      <w:iCs/>
      <w:color w:val="2F5496" w:themeColor="accent1" w:themeShade="BF"/>
    </w:rPr>
  </w:style>
  <w:style w:type="character" w:styleId="IntenseReference">
    <w:name w:val="Intense Reference"/>
    <w:basedOn w:val="DefaultParagraphFont"/>
    <w:uiPriority w:val="32"/>
    <w:qFormat/>
    <w:rsid w:val="00D87C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286</Words>
  <Characters>1631</Characters>
  <Application>Microsoft Office Word</Application>
  <DocSecurity>0</DocSecurity>
  <Lines>13</Lines>
  <Paragraphs>3</Paragraphs>
  <ScaleCrop>false</ScaleCrop>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تامر احمد السيد الدبيكى</dc:creator>
  <cp:keywords/>
  <dc:description/>
  <cp:lastModifiedBy>محمد تامر احمد السيد الدبيكى</cp:lastModifiedBy>
  <cp:revision>1</cp:revision>
  <dcterms:created xsi:type="dcterms:W3CDTF">2026-01-18T13:32:00Z</dcterms:created>
  <dcterms:modified xsi:type="dcterms:W3CDTF">2026-01-18T13:32:00Z</dcterms:modified>
</cp:coreProperties>
</file>