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ReneWind – Wind Turbine Generator Failure Prediction</w:t>
      </w:r>
    </w:p>
    <w:p>
      <w:pPr>
        <w:pStyle w:val="Heading1"/>
        <w:spacing w:after="150" w:before="300"/>
      </w:pPr>
      <w:r>
        <w:t xml:space="preserve">Business Context</w:t>
      </w:r>
    </w:p>
    <w:p>
      <w:pPr>
        <w:spacing w:after="200"/>
      </w:pPr>
      <w:r>
        <w:t xml:space="preserve">Renewable energy sources play an increasingly important role in the global energy mix, as the effort to reduce the environmental impact of energy production increases.</w:t>
      </w:r>
    </w:p>
    <w:p>
      <w:pPr>
        <w:spacing w:after="200"/>
      </w:pPr>
      <w:r>
        <w:t xml:space="preserve">Out of all the renewable energy alternatives, wind energy is one of the most developed technologies worldwide. The U.S. Department of Energy has put together a guide to achieving operational efficiency using predictive maintenance practices.</w:t>
      </w:r>
    </w:p>
    <w:p>
      <w:pPr>
        <w:spacing w:after="200"/>
      </w:pPr>
      <w:r>
        <w:t xml:space="preserve">Predictive maintenance uses sensor information and analysis methods to measure and predict degradation and future component capability. The idea behind predictive maintenance is that failure patterns are predictable and if component failure can be predicted accurately and the component is replaced before it fails, the costs of operation and maintenance will be much lower.</w:t>
      </w:r>
    </w:p>
    <w:p>
      <w:pPr>
        <w:spacing w:after="200"/>
      </w:pPr>
      <w:r>
        <w:t xml:space="preserve">The sensors fitted across different machines involved in the process of energy generation collect data related to various environmental factors (temperature, humidity, wind speed, etc.) and additional features related to various parts of the wind turbine (gearbox, tower, blades, break, etc.).</w:t>
      </w:r>
    </w:p>
    <w:p>
      <w:pPr>
        <w:pStyle w:val="Heading1"/>
        <w:spacing w:after="150" w:before="300"/>
      </w:pPr>
      <w:r>
        <w:t xml:space="preserve">Objective</w:t>
      </w:r>
    </w:p>
    <w:p>
      <w:pPr>
        <w:spacing w:after="200"/>
      </w:pPr>
      <w:r>
        <w:t xml:space="preserve">“ReneWind” is a company working on improving the machinery/processes involved in the production of wind energy using machine learning and has collected data on generator failure of wind turbines using sensors. They have shared a ciphered version of the data, as the data collected through sensors is confidential (the type of data collected varies with companies). Data has 40 predictors, 20000 observations in the training set, and 5000 in the test set.</w:t>
      </w:r>
    </w:p>
    <w:p>
      <w:pPr>
        <w:spacing w:after="200"/>
      </w:pPr>
      <w:r>
        <w:t xml:space="preserve">The objective is to build various classification models, tune them, and find the best one that will help identify failures so that the generators can be repaired before failing/breaking to reduce the overall maintenance cost.</w:t>
      </w:r>
    </w:p>
    <w:p>
      <w:pPr>
        <w:spacing w:after="150"/>
      </w:pPr>
      <w:r>
        <w:t xml:space="preserve">The nature of predictions made by the classification model will translate as follows:</w:t>
      </w:r>
    </w:p>
    <w:p>
      <w:pPr>
        <w:pStyle w:val="ListParagraph"/>
        <w:numPr>
          <w:ilvl w:val="0"/>
          <w:numId w:val="1"/>
        </w:numPr>
        <w:spacing w:after="100"/>
      </w:pPr>
      <w:r>
        <w:t xml:space="preserve">True positives (TP) are failures correctly predicted by the model. These will result in repair costs.</w:t>
      </w:r>
    </w:p>
    <w:p>
      <w:pPr>
        <w:pStyle w:val="ListParagraph"/>
        <w:numPr>
          <w:ilvl w:val="0"/>
          <w:numId w:val="1"/>
        </w:numPr>
        <w:spacing w:after="100"/>
      </w:pPr>
      <w:r>
        <w:t xml:space="preserve">False negatives (FN) are real failures where there is no detection by the model. These will result in replacement costs.</w:t>
      </w:r>
    </w:p>
    <w:p>
      <w:pPr>
        <w:pStyle w:val="ListParagraph"/>
        <w:numPr>
          <w:ilvl w:val="0"/>
          <w:numId w:val="1"/>
        </w:numPr>
        <w:spacing w:after="200"/>
      </w:pPr>
      <w:r>
        <w:t xml:space="preserve">False positives (FP) are detections where there is no failure. These will result in inspection costs.</w:t>
      </w:r>
    </w:p>
    <w:p>
      <w:pPr>
        <w:spacing w:after="200"/>
      </w:pPr>
      <w:r>
        <w:t xml:space="preserve">It is given that the cost of repairing a generator is much less than the cost of replacing it, and the cost of inspection is less than the cost of repair.</w:t>
      </w:r>
    </w:p>
    <w:p>
      <w:pPr>
        <w:spacing w:after="200"/>
      </w:pPr>
      <w:r>
        <w:t xml:space="preserve">“1” in the target variable should be considered as “failure” and “0” represents “No failure”.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2026-10-15T13:45:39.529Z</dcterms:created>
  <dcterms:modified xsi:type="dcterms:W3CDTF">2026-10-15T13:45:39.536Z</dcterms:modified>
</cp:coreProperties>
</file>

<file path=docProps/custom.xml><?xml version="1.0" encoding="utf-8"?>
<Properties xmlns="http://schemas.openxmlformats.org/officeDocument/2006/custom-properties" xmlns:vt="http://schemas.openxmlformats.org/officeDocument/2006/docPropsVTypes"/>
</file>