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Impact" w:hAnsi="Impact"/>
          <w:color w:val="0F4761"/>
          <w:sz w:val="68"/>
        </w:rPr>
        <w:t>PICS</w:t>
      </w:r>
    </w:p>
    <w:p>
      <w:pPr>
        <w:jc w:val="center"/>
      </w:pPr>
      <w:r>
        <w:rPr>
          <w:rFonts w:ascii="Calibri" w:hAnsi="Calibri"/>
          <w:b/>
          <w:color w:val="0F4761"/>
          <w:sz w:val="50"/>
        </w:rPr>
        <w:t>Libya News Headlines</w:t>
      </w:r>
    </w:p>
    <w:p>
      <w:pPr>
        <w:jc w:val="center"/>
      </w:pPr>
      <w:r>
        <w:rPr>
          <w:rFonts w:ascii="Calibri" w:hAnsi="Calibri"/>
          <w:color w:val="465762"/>
          <w:sz w:val="30"/>
        </w:rPr>
        <w:t>Master Editorial, Verification and Word-Formatting SOP</w:t>
      </w:r>
    </w:p>
    <w:p>
      <w:pPr>
        <w:spacing w:before="560"/>
        <w:jc w:val="center"/>
      </w:pPr>
      <w:r>
        <w:rPr>
          <w:rFonts w:ascii="Calibri" w:hAnsi="Calibri"/>
          <w:i/>
          <w:sz w:val="22"/>
        </w:rPr>
        <w:t>Authoritative benchmark set: June 2026 PICS reports</w:t>
      </w:r>
    </w:p>
    <w:p>
      <w:pPr>
        <w:spacing w:after="120"/>
        <w:jc w:val="center"/>
      </w:pPr>
      <w:r>
        <w:rPr>
          <w:rFonts w:ascii="Calibri" w:hAnsi="Calibri"/>
          <w:b/>
          <w:color w:val="467886"/>
          <w:sz w:val="24"/>
        </w:rPr>
        <w:t>Codex Operational Edition — executable controls, validators and delivery gates</w:t>
      </w:r>
    </w:p>
    <w:p>
      <w:pPr>
        <w:spacing w:before="840"/>
      </w:pP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9EAF3"/>
            <w:tcMar>
              <w:top w:w="90" w:type="dxa"/>
              <w:start w:w="120" w:type="dxa"/>
              <w:bottom w:w="90" w:type="dxa"/>
              <w:end w:w="120" w:type="dxa"/>
            </w:tcMar>
          </w:tcPr>
          <w:p>
            <w:r>
              <w:rPr>
                <w:b/>
              </w:rPr>
              <w:t>Document status</w:t>
            </w:r>
          </w:p>
        </w:tc>
        <w:tc>
          <w:tcPr>
            <w:tcW w:type="dxa" w:w="4997"/>
            <w:tcMar>
              <w:top w:w="90" w:type="dxa"/>
              <w:start w:w="120" w:type="dxa"/>
              <w:bottom w:w="90" w:type="dxa"/>
              <w:end w:w="120" w:type="dxa"/>
            </w:tcMar>
          </w:tcPr>
          <w:p>
            <w:r>
              <w:t>Standing project standard</w:t>
            </w:r>
          </w:p>
        </w:tc>
      </w:tr>
      <w:tr>
        <w:trPr>
          <w:cantSplit/>
        </w:trPr>
        <w:tc>
          <w:tcPr>
            <w:tcW w:type="dxa" w:w="4997"/>
            <w:shd w:fill="D9EAF3"/>
            <w:tcMar>
              <w:top w:w="90" w:type="dxa"/>
              <w:start w:w="120" w:type="dxa"/>
              <w:bottom w:w="90" w:type="dxa"/>
              <w:end w:w="120" w:type="dxa"/>
            </w:tcMar>
          </w:tcPr>
          <w:p>
            <w:r>
              <w:rPr>
                <w:b/>
              </w:rPr>
              <w:t>Current controlling layout</w:t>
            </w:r>
          </w:p>
        </w:tc>
        <w:tc>
          <w:tcPr>
            <w:tcW w:type="dxa" w:w="4997"/>
            <w:tcMar>
              <w:top w:w="90" w:type="dxa"/>
              <w:start w:w="120" w:type="dxa"/>
              <w:bottom w:w="90" w:type="dxa"/>
              <w:end w:w="120" w:type="dxa"/>
            </w:tcMar>
          </w:tcPr>
          <w:p>
            <w:r>
              <w:t>20260621_headlines.docx</w:t>
            </w:r>
          </w:p>
        </w:tc>
      </w:tr>
      <w:tr>
        <w:trPr>
          <w:cantSplit/>
        </w:trPr>
        <w:tc>
          <w:tcPr>
            <w:tcW w:type="dxa" w:w="4997"/>
            <w:shd w:fill="D9EAF3"/>
            <w:tcMar>
              <w:top w:w="90" w:type="dxa"/>
              <w:start w:w="120" w:type="dxa"/>
              <w:bottom w:w="90" w:type="dxa"/>
              <w:end w:w="120" w:type="dxa"/>
            </w:tcMar>
          </w:tcPr>
          <w:p>
            <w:r>
              <w:rPr>
                <w:b/>
              </w:rPr>
              <w:t>Editorial benchmark range</w:t>
            </w:r>
          </w:p>
        </w:tc>
        <w:tc>
          <w:tcPr>
            <w:tcW w:type="dxa" w:w="4997"/>
            <w:tcMar>
              <w:top w:w="90" w:type="dxa"/>
              <w:start w:w="120" w:type="dxa"/>
              <w:bottom w:w="90" w:type="dxa"/>
              <w:end w:w="120" w:type="dxa"/>
            </w:tcMar>
          </w:tcPr>
          <w:p>
            <w:r>
              <w:t>1–21 June 2026 sample set</w:t>
            </w:r>
          </w:p>
        </w:tc>
      </w:tr>
      <w:tr>
        <w:trPr>
          <w:cantSplit/>
        </w:trPr>
        <w:tc>
          <w:tcPr>
            <w:tcW w:type="dxa" w:w="4997"/>
            <w:shd w:fill="D9EAF3"/>
            <w:tcMar>
              <w:top w:w="90" w:type="dxa"/>
              <w:start w:w="120" w:type="dxa"/>
              <w:bottom w:w="90" w:type="dxa"/>
              <w:end w:w="120" w:type="dxa"/>
            </w:tcMar>
          </w:tcPr>
          <w:p>
            <w:r>
              <w:rPr>
                <w:b/>
              </w:rPr>
              <w:t>Applies to</w:t>
            </w:r>
          </w:p>
        </w:tc>
        <w:tc>
          <w:tcPr>
            <w:tcW w:type="dxa" w:w="4997"/>
            <w:tcMar>
              <w:top w:w="90" w:type="dxa"/>
              <w:start w:w="120" w:type="dxa"/>
              <w:bottom w:w="90" w:type="dxa"/>
              <w:end w:w="120" w:type="dxa"/>
            </w:tcMar>
          </w:tcPr>
          <w:p>
            <w:r>
              <w:t>PICS/UNSMIL Libya News Headlines reports</w:t>
            </w:r>
          </w:p>
        </w:tc>
      </w:tr>
      <w:tr>
        <w:trPr>
          <w:cantSplit/>
        </w:trPr>
        <w:tc>
          <w:tcPr>
            <w:tcW w:type="dxa" w:w="4997"/>
            <w:shd w:fill="D9EAF3"/>
            <w:tcMar>
              <w:top w:w="90" w:type="dxa"/>
              <w:start w:w="120" w:type="dxa"/>
              <w:bottom w:w="90" w:type="dxa"/>
              <w:end w:w="120" w:type="dxa"/>
            </w:tcMar>
          </w:tcPr>
          <w:p>
            <w:r>
              <w:rPr>
                <w:b/>
              </w:rPr>
              <w:t>Version</w:t>
            </w:r>
          </w:p>
        </w:tc>
        <w:tc>
          <w:tcPr>
            <w:tcW w:type="dxa" w:w="4997"/>
            <w:tcMar>
              <w:top w:w="90" w:type="dxa"/>
              <w:start w:w="120" w:type="dxa"/>
              <w:bottom w:w="90" w:type="dxa"/>
              <w:end w:w="120" w:type="dxa"/>
            </w:tcMar>
          </w:tcPr>
          <w:p>
            <w:r>
              <w:t>2.0 – Codex Operational Edition</w:t>
            </w:r>
          </w:p>
        </w:tc>
      </w:tr>
      <w:tr>
        <w:tc>
          <w:tcPr>
            <w:tcW w:type="dxa" w:w="4997"/>
          </w:tcPr>
          <w:p>
            <w:r>
              <w:t>Operational objective</w:t>
            </w:r>
          </w:p>
        </w:tc>
        <w:tc>
          <w:tcPr>
            <w:tcW w:type="dxa" w:w="4997"/>
          </w:tcPr>
          <w:p>
            <w:r>
              <w:t>Reproducible Codex execution with zero silent omissions and mandatory validation gates</w:t>
            </w:r>
          </w:p>
        </w:tc>
      </w:tr>
    </w:tbl>
    <w:p>
      <w:pPr>
        <w:spacing w:before="800"/>
        <w:jc w:val="center"/>
      </w:pPr>
      <w:r>
        <w:rPr>
          <w:rFonts w:ascii="Calibri" w:hAnsi="Calibri"/>
          <w:color w:val="646C73"/>
          <w:sz w:val="18"/>
        </w:rPr>
        <w:t>Internal working reference — apply automatically unless the user gives newer instructions</w:t>
      </w:r>
    </w:p>
    <w:p>
      <w:r>
        <w:rPr>
          <w:rFonts w:ascii="Calibri" w:hAnsi="Calibri"/>
        </w:rPr>
        <w:br w:type="page"/>
      </w:r>
    </w:p>
    <w:p>
      <w:pPr>
        <w:pStyle w:val="Heading1"/>
        <w:keepNext/>
        <w:pBdr>
          <w:bottom w:val="single" w:sz="8" w:space="4" w:color="D9E2E8"/>
        </w:pBdr>
      </w:pPr>
      <w:r>
        <w:rPr>
          <w:rFonts w:ascii="Calibri" w:hAnsi="Calibri"/>
        </w:rPr>
        <w:t>1. Purpose and controlling authority</w:t>
      </w:r>
    </w:p>
    <w:p>
      <w:r>
        <w:rPr>
          <w:rFonts w:ascii="Calibri" w:hAnsi="Calibri"/>
        </w:rPr>
        <w:t>This SOP defines how to verify, select, translate, classify, edit, format and quality-control PICS Libya News Headlines reports. It is designed to prevent the recurring errors identified during the June 2026 workflow: omitted valid stories, over-merging, incorrect dates, generic AI labels, mismatched links, inconsistent hyperlinks, weak section placement and superficial formatting-only edits.</w:t>
      </w:r>
    </w:p>
    <w:tbl>
      <w:tblPr>
        <w:tblW w:type="auto" w:w="0"/>
        <w:jc w:val="center"/>
        <w:tblLayout w:type="autofit"/>
        <w:tblLook w:firstColumn="1" w:firstRow="1" w:lastColumn="0" w:lastRow="0" w:noHBand="0" w:noVBand="1" w:val="04A0"/>
      </w:tblPr>
      <w:tblGrid>
        <w:gridCol w:w="9994"/>
      </w:tblGrid>
      <w:tr>
        <w:trPr>
          <w:cantSplit/>
        </w:trPr>
        <w:tc>
          <w:tcPr>
            <w:tcW w:type="dxa" w:w="9994"/>
            <w:shd w:fill="EAF2F8"/>
            <w:tcMar>
              <w:top w:w="120" w:type="dxa"/>
              <w:start w:w="160" w:type="dxa"/>
              <w:bottom w:w="120" w:type="dxa"/>
              <w:end w:w="160" w:type="dxa"/>
            </w:tcMar>
          </w:tcPr>
          <w:p>
            <w:pPr>
              <w:spacing w:after="60"/>
            </w:pPr>
            <w:r>
              <w:rPr>
                <w:b/>
                <w:color w:val="0F4761"/>
              </w:rPr>
              <w:t>Decision hierarchy</w:t>
            </w:r>
          </w:p>
          <w:p>
            <w:pPr>
              <w:spacing w:after="0"/>
            </w:pPr>
            <w:r>
              <w:t>When instructions or samples conflict, apply the following order: (1) the user’s most recent explicit instruction; (2) the current workflow’s approved-source universe and date window; (3) the 20260621 report as the controlling modern layout; (4) recurring editorial conventions across the full June benchmark set; and (5) correction of obvious sample errors rather than reproducing them.</w:t>
            </w:r>
          </w:p>
        </w:tc>
      </w:tr>
    </w:tbl>
    <w:p>
      <w:pPr>
        <w:pStyle w:val="ListBullet"/>
        <w:spacing w:after="60" w:line="259" w:lineRule="auto"/>
      </w:pPr>
      <w:r>
        <w:rPr>
          <w:rFonts w:ascii="Calibri" w:hAnsi="Calibri"/>
        </w:rPr>
        <w:t>The benchmark set is authoritative for structure, headline logic, terminology, source presentation, hyperlink treatment, disclaimer wording and editorial judgement.</w:t>
      </w:r>
    </w:p>
    <w:p>
      <w:pPr>
        <w:pStyle w:val="ListBullet"/>
        <w:spacing w:after="60" w:line="259" w:lineRule="auto"/>
      </w:pPr>
      <w:r>
        <w:rPr>
          <w:rFonts w:ascii="Calibri" w:hAnsi="Calibri"/>
        </w:rPr>
        <w:t>The 20260621 file controls the current bullet-based layout and modern hyperlink appearance when older files differ.</w:t>
      </w:r>
    </w:p>
    <w:p>
      <w:pPr>
        <w:pStyle w:val="ListBullet"/>
        <w:spacing w:after="60" w:line="259" w:lineRule="auto"/>
      </w:pPr>
      <w:r>
        <w:rPr>
          <w:rFonts w:ascii="Calibri" w:hAnsi="Calibri"/>
        </w:rPr>
        <w:t>Earlier June files remain authoritative for thematic clustering, source consolidation, role labelling, migration coverage, energy grouping, Varieties treatment and legacy examples.</w:t>
      </w:r>
    </w:p>
    <w:p>
      <w:pPr>
        <w:pStyle w:val="ListBullet"/>
        <w:spacing w:after="60" w:line="259" w:lineRule="auto"/>
      </w:pPr>
      <w:r>
        <w:rPr>
          <w:rFonts w:ascii="Calibri" w:hAnsi="Calibri"/>
        </w:rPr>
        <w:t>A newer direct instruction always overrides the benchmark. The current strict instruction is that UN-related coverage must not be lost through duplicate consolidation.</w:t>
      </w:r>
    </w:p>
    <w:p>
      <w:pPr>
        <w:pStyle w:val="Heading1"/>
        <w:keepNext/>
        <w:pBdr>
          <w:bottom w:val="single" w:sz="8" w:space="4" w:color="D9E2E8"/>
        </w:pBdr>
      </w:pPr>
      <w:r>
        <w:rPr>
          <w:rFonts w:ascii="Calibri" w:hAnsi="Calibri"/>
        </w:rPr>
        <w:t>2. Non-negotiable principles</w:t>
      </w:r>
    </w:p>
    <w:p>
      <w:pPr>
        <w:pStyle w:val="ListBullet"/>
        <w:spacing w:after="60" w:line="259" w:lineRule="auto"/>
      </w:pPr>
      <w:r>
        <w:rPr>
          <w:rFonts w:ascii="Calibri" w:hAnsi="Calibri"/>
        </w:rPr>
        <w:t>Completeness before compression: valid coverage in the requested window must not be removed merely because the broad topic is already represented.</w:t>
      </w:r>
    </w:p>
    <w:p>
      <w:pPr>
        <w:pStyle w:val="ListBullet"/>
        <w:spacing w:after="60" w:line="259" w:lineRule="auto"/>
      </w:pPr>
      <w:r>
        <w:rPr>
          <w:rFonts w:ascii="Calibri" w:hAnsi="Calibri"/>
        </w:rPr>
        <w:t>Article-level verification: decisions must be based on the actual linked article, not only a scraped title or search-result snippet.</w:t>
      </w:r>
    </w:p>
    <w:p>
      <w:pPr>
        <w:pStyle w:val="ListBullet"/>
        <w:spacing w:after="60" w:line="259" w:lineRule="auto"/>
      </w:pPr>
      <w:r>
        <w:rPr>
          <w:rFonts w:ascii="Calibri" w:hAnsi="Calibri"/>
        </w:rPr>
        <w:t>Fidelity: the English PICS headline must preserve the source’s factual meaning, attribution, numbers, institutional position and degree of certainty.</w:t>
      </w:r>
    </w:p>
    <w:p>
      <w:pPr>
        <w:pStyle w:val="ListBullet"/>
        <w:spacing w:after="60" w:line="259" w:lineRule="auto"/>
      </w:pPr>
      <w:r>
        <w:rPr>
          <w:rFonts w:ascii="Calibri" w:hAnsi="Calibri"/>
        </w:rPr>
        <w:t>Clear classification: each story belongs in the section that best reflects its primary news value, not simply the institution named in the text.</w:t>
      </w:r>
    </w:p>
    <w:p>
      <w:pPr>
        <w:pStyle w:val="ListBullet"/>
        <w:spacing w:after="60" w:line="259" w:lineRule="auto"/>
      </w:pPr>
      <w:r>
        <w:rPr>
          <w:rFonts w:ascii="Calibri" w:hAnsi="Calibri"/>
        </w:rPr>
        <w:t>UN protection rule: distinct UN-related articles and framings remain visible as separate bullets; they are not silently collapsed or excluded as duplicates.</w:t>
      </w:r>
    </w:p>
    <w:p>
      <w:pPr>
        <w:pStyle w:val="ListBullet"/>
        <w:spacing w:after="60" w:line="259" w:lineRule="auto"/>
      </w:pPr>
      <w:r>
        <w:rPr>
          <w:rFonts w:ascii="Calibri" w:hAnsi="Calibri"/>
        </w:rPr>
        <w:t>Controlled consolidation: non-UN duplicate reports may be combined only when they communicate materially the same fact and framing.</w:t>
      </w:r>
    </w:p>
    <w:p>
      <w:pPr>
        <w:pStyle w:val="ListBullet"/>
        <w:spacing w:after="60" w:line="259" w:lineRule="auto"/>
      </w:pPr>
      <w:r>
        <w:rPr>
          <w:rFonts w:ascii="Calibri" w:hAnsi="Calibri"/>
        </w:rPr>
        <w:t>Direct links: every retained source must point to the direct article page and be attached to the correct source name in Word.</w:t>
      </w:r>
    </w:p>
    <w:p>
      <w:pPr>
        <w:pStyle w:val="ListBullet"/>
        <w:spacing w:after="60" w:line="259" w:lineRule="auto"/>
      </w:pPr>
      <w:r>
        <w:rPr>
          <w:rFonts w:ascii="Calibri" w:hAnsi="Calibri"/>
        </w:rPr>
        <w:t>Visual fidelity: a report is not final until the DOCX is rendered and every page is visually inspected.</w:t>
      </w:r>
    </w:p>
    <w:p>
      <w:pPr>
        <w:pStyle w:val="Heading1"/>
        <w:keepNext/>
        <w:pBdr>
          <w:bottom w:val="single" w:sz="8" w:space="4" w:color="D9E2E8"/>
        </w:pBdr>
      </w:pPr>
      <w:r>
        <w:rPr>
          <w:rFonts w:ascii="Calibri" w:hAnsi="Calibri"/>
        </w:rPr>
        <w:t>3. Required report output</w:t>
      </w:r>
    </w:p>
    <w:p>
      <w:pPr>
        <w:pStyle w:val="ListBullet"/>
        <w:spacing w:after="60" w:line="259" w:lineRule="auto"/>
      </w:pPr>
      <w:r>
        <w:rPr>
          <w:rFonts w:ascii="Calibri" w:hAnsi="Calibri"/>
        </w:rPr>
        <w:t>Final Word report in current PICS format, with all source names linked to direct article URLs.</w:t>
      </w:r>
    </w:p>
    <w:p>
      <w:pPr>
        <w:pStyle w:val="ListBullet"/>
        <w:spacing w:after="60" w:line="259" w:lineRule="auto"/>
      </w:pPr>
      <w:r>
        <w:rPr>
          <w:rFonts w:ascii="Calibri" w:hAnsi="Calibri"/>
        </w:rPr>
        <w:t>Recommended audit file: verification table with inclusion/exclusion decisions and duplicate handling.</w:t>
      </w:r>
    </w:p>
    <w:p>
      <w:pPr>
        <w:pStyle w:val="ListBullet"/>
        <w:spacing w:after="60" w:line="259" w:lineRule="auto"/>
      </w:pPr>
      <w:r>
        <w:rPr>
          <w:rFonts w:ascii="Calibri" w:hAnsi="Calibri"/>
        </w:rPr>
        <w:t>Optional working file: story-cluster map or findings log for large datasets.</w:t>
      </w:r>
    </w:p>
    <w:p>
      <w:pPr>
        <w:pStyle w:val="ListBullet"/>
        <w:spacing w:after="60" w:line="259" w:lineRule="auto"/>
      </w:pPr>
      <w:r>
        <w:rPr>
          <w:rFonts w:ascii="Calibri" w:hAnsi="Calibri"/>
        </w:rPr>
        <w:t>No unresolved tracked changes, reviewer comments, placeholder text, empty headings or visible raw URLs in the final report.</w:t>
      </w:r>
    </w:p>
    <w:p>
      <w:pPr>
        <w:pStyle w:val="Heading1"/>
        <w:keepNext/>
        <w:pBdr>
          <w:bottom w:val="single" w:sz="8" w:space="4" w:color="D9E2E8"/>
        </w:pBdr>
      </w:pPr>
      <w:r>
        <w:rPr>
          <w:rFonts w:ascii="Calibri" w:hAnsi="Calibri"/>
        </w:rPr>
        <w:t>4. End-to-end workflow</w:t>
      </w:r>
    </w:p>
    <w:p>
      <w:pPr>
        <w:pStyle w:val="ListNumber"/>
        <w:spacing w:after="60" w:line="259" w:lineRule="auto"/>
      </w:pPr>
      <w:r>
        <w:rPr>
          <w:rFonts w:ascii="Calibri" w:hAnsi="Calibri"/>
        </w:rPr>
        <w:t>Lock the reporting window using exact calendar dates and the Libya time zone when relevant.</w:t>
      </w:r>
    </w:p>
    <w:p>
      <w:pPr>
        <w:pStyle w:val="ListNumber"/>
        <w:spacing w:after="60" w:line="259" w:lineRule="auto"/>
      </w:pPr>
      <w:r>
        <w:rPr>
          <w:rFonts w:ascii="Calibri" w:hAnsi="Calibri"/>
        </w:rPr>
        <w:t>Load the current approved-source universe. Treat the source list supplied with the current workflow as authoritative, even if an older Annex does not contain an outlet.</w:t>
      </w:r>
    </w:p>
    <w:p>
      <w:pPr>
        <w:pStyle w:val="ListNumber"/>
        <w:spacing w:after="60" w:line="259" w:lineRule="auto"/>
      </w:pPr>
      <w:r>
        <w:rPr>
          <w:rFonts w:ascii="Calibri" w:hAnsi="Calibri"/>
        </w:rPr>
        <w:t>Extract every candidate record: original title, source, direct URL or redirect URL, language, timestamp and available metadata.</w:t>
      </w:r>
    </w:p>
    <w:p>
      <w:pPr>
        <w:pStyle w:val="ListNumber"/>
        <w:spacing w:after="60" w:line="259" w:lineRule="auto"/>
      </w:pPr>
      <w:r>
        <w:rPr>
          <w:rFonts w:ascii="Calibri" w:hAnsi="Calibri"/>
        </w:rPr>
        <w:t>Resolve redirects and open the direct article page.</w:t>
      </w:r>
    </w:p>
    <w:p>
      <w:pPr>
        <w:pStyle w:val="ListNumber"/>
        <w:spacing w:after="60" w:line="259" w:lineRule="auto"/>
      </w:pPr>
      <w:r>
        <w:rPr>
          <w:rFonts w:ascii="Calibri" w:hAnsi="Calibri"/>
        </w:rPr>
        <w:t>Verify publication date, outlet identity, Libya relevance and article substance.</w:t>
      </w:r>
    </w:p>
    <w:p>
      <w:pPr>
        <w:pStyle w:val="ListNumber"/>
        <w:spacing w:after="60" w:line="259" w:lineRule="auto"/>
      </w:pPr>
      <w:r>
        <w:rPr>
          <w:rFonts w:ascii="Calibri" w:hAnsi="Calibri"/>
        </w:rPr>
        <w:t>Create story clusters without deleting any candidate at this stage.</w:t>
      </w:r>
    </w:p>
    <w:p>
      <w:pPr>
        <w:pStyle w:val="ListNumber"/>
        <w:spacing w:after="60" w:line="259" w:lineRule="auto"/>
      </w:pPr>
      <w:r>
        <w:rPr>
          <w:rFonts w:ascii="Calibri" w:hAnsi="Calibri"/>
        </w:rPr>
        <w:t>Apply the special UN rule before ordinary deduplication.</w:t>
      </w:r>
    </w:p>
    <w:p>
      <w:pPr>
        <w:pStyle w:val="ListNumber"/>
        <w:spacing w:after="60" w:line="259" w:lineRule="auto"/>
      </w:pPr>
      <w:r>
        <w:rPr>
          <w:rFonts w:ascii="Calibri" w:hAnsi="Calibri"/>
        </w:rPr>
        <w:t>Write source-faithful English headlines and standardise roles, names and terminology.</w:t>
      </w:r>
    </w:p>
    <w:p>
      <w:pPr>
        <w:pStyle w:val="ListNumber"/>
        <w:spacing w:after="60" w:line="259" w:lineRule="auto"/>
      </w:pPr>
      <w:r>
        <w:rPr>
          <w:rFonts w:ascii="Calibri" w:hAnsi="Calibri"/>
        </w:rPr>
        <w:t>Classify stories into the fixed main-section order and dynamic event-based subsections.</w:t>
      </w:r>
    </w:p>
    <w:p>
      <w:pPr>
        <w:pStyle w:val="ListNumber"/>
        <w:spacing w:after="60" w:line="259" w:lineRule="auto"/>
      </w:pPr>
      <w:r>
        <w:rPr>
          <w:rFonts w:ascii="Calibri" w:hAnsi="Calibri"/>
        </w:rPr>
        <w:t>Consolidate only eligible non-UN duplicates; preserve distinct statements and angles.</w:t>
      </w:r>
    </w:p>
    <w:p>
      <w:pPr>
        <w:pStyle w:val="ListNumber"/>
        <w:spacing w:after="60" w:line="259" w:lineRule="auto"/>
      </w:pPr>
      <w:r>
        <w:rPr>
          <w:rFonts w:ascii="Calibri" w:hAnsi="Calibri"/>
        </w:rPr>
        <w:t>Build Word-native hyperlinks, language markers and source separators.</w:t>
      </w:r>
    </w:p>
    <w:p>
      <w:pPr>
        <w:pStyle w:val="ListNumber"/>
        <w:spacing w:after="60" w:line="259" w:lineRule="auto"/>
      </w:pPr>
      <w:r>
        <w:rPr>
          <w:rFonts w:ascii="Calibri" w:hAnsi="Calibri"/>
        </w:rPr>
        <w:t>Apply exact PICS page, font, spacing, bullet and disclaimer formatting.</w:t>
      </w:r>
    </w:p>
    <w:p>
      <w:pPr>
        <w:pStyle w:val="ListNumber"/>
        <w:spacing w:after="60" w:line="259" w:lineRule="auto"/>
      </w:pPr>
      <w:r>
        <w:rPr>
          <w:rFonts w:ascii="Calibri" w:hAnsi="Calibri"/>
        </w:rPr>
        <w:t>Run content QA, hyperlink QA and count reconciliation against the input dataset.</w:t>
      </w:r>
    </w:p>
    <w:p>
      <w:pPr>
        <w:pStyle w:val="ListNumber"/>
        <w:spacing w:after="60" w:line="259" w:lineRule="auto"/>
      </w:pPr>
      <w:r>
        <w:rPr>
          <w:rFonts w:ascii="Calibri" w:hAnsi="Calibri"/>
        </w:rPr>
        <w:t>Render the DOCX, inspect every page and correct any visual defect before delivery.</w:t>
      </w:r>
    </w:p>
    <w:p>
      <w:pPr>
        <w:pStyle w:val="Heading1"/>
        <w:keepNext/>
        <w:pBdr>
          <w:bottom w:val="single" w:sz="8" w:space="4" w:color="D9E2E8"/>
        </w:pBdr>
      </w:pPr>
      <w:r>
        <w:rPr>
          <w:rFonts w:ascii="Calibri" w:hAnsi="Calibri"/>
        </w:rPr>
        <w:t>5. Source universe, date window and inclusion rules</w:t>
      </w:r>
    </w:p>
    <w:p>
      <w:pPr>
        <w:pStyle w:val="Heading2"/>
        <w:keepNext/>
      </w:pPr>
      <w:r>
        <w:rPr>
          <w:rFonts w:ascii="Calibri" w:hAnsi="Calibri"/>
        </w:rPr>
        <w:t>5.1 Approved-source authority</w:t>
      </w:r>
    </w:p>
    <w:p>
      <w:r>
        <w:rPr>
          <w:rFonts w:ascii="Calibri" w:hAnsi="Calibri"/>
        </w:rPr>
        <w:t>The current workflow’s source universe is the source of truth. Do not reject an item solely because its outlet is absent from an older SOP or earlier approved-source list. For the 21–22 June 2026 workflow, for example, the full 225-article input dataset was explicitly treated as coming from approved sources under the updated source list.</w:t>
      </w:r>
    </w:p>
    <w:p>
      <w:pPr>
        <w:pStyle w:val="ListBullet"/>
        <w:spacing w:after="60" w:line="259" w:lineRule="auto"/>
      </w:pPr>
      <w:r>
        <w:rPr>
          <w:rFonts w:ascii="Calibri" w:hAnsi="Calibri"/>
        </w:rPr>
        <w:t>Historical source categories include domestic Arabic, domestic English, regional Arabic, regional/international English and official UN/institutional sources.</w:t>
      </w:r>
    </w:p>
    <w:p>
      <w:pPr>
        <w:pStyle w:val="ListBullet"/>
        <w:spacing w:after="60" w:line="259" w:lineRule="auto"/>
      </w:pPr>
      <w:r>
        <w:rPr>
          <w:rFonts w:ascii="Calibri" w:hAnsi="Calibri"/>
        </w:rPr>
        <w:t>Approval does not remove the need to verify that the URL is a real article page, the date is in range and the item is Libya-related.</w:t>
      </w:r>
    </w:p>
    <w:p>
      <w:pPr>
        <w:pStyle w:val="ListBullet"/>
        <w:spacing w:after="60" w:line="259" w:lineRule="auto"/>
      </w:pPr>
      <w:r>
        <w:rPr>
          <w:rFonts w:ascii="Calibri" w:hAnsi="Calibri"/>
        </w:rPr>
        <w:t>When a current dataset is explicitly pre-approved, preserve all records for editorial review; do not pre-filter them using an obsolete list.</w:t>
      </w:r>
    </w:p>
    <w:p>
      <w:pPr>
        <w:pStyle w:val="Heading2"/>
        <w:keepNext/>
      </w:pPr>
      <w:r>
        <w:rPr>
          <w:rFonts w:ascii="Calibri" w:hAnsi="Calibri"/>
        </w:rPr>
        <w:t>5.2 Coverage-window test</w:t>
      </w:r>
    </w:p>
    <w:p>
      <w:pPr>
        <w:pStyle w:val="ListBullet"/>
        <w:spacing w:after="60" w:line="259" w:lineRule="auto"/>
      </w:pPr>
      <w:r>
        <w:rPr>
          <w:rFonts w:ascii="Calibri" w:hAnsi="Calibri"/>
        </w:rPr>
        <w:t>Use the article’s publication date, not the date of the underlying event, unless the user explicitly requests event-date coverage.</w:t>
      </w:r>
    </w:p>
    <w:p>
      <w:pPr>
        <w:pStyle w:val="ListBullet"/>
        <w:spacing w:after="60" w:line="259" w:lineRule="auto"/>
      </w:pPr>
      <w:r>
        <w:rPr>
          <w:rFonts w:ascii="Calibri" w:hAnsi="Calibri"/>
        </w:rPr>
        <w:t>An article published inside the window remains eligible even if it reports an event that occurred earlier. This is especially important for UN coverage, analysis and follow-up reporting.</w:t>
      </w:r>
    </w:p>
    <w:p>
      <w:pPr>
        <w:pStyle w:val="ListBullet"/>
        <w:spacing w:after="60" w:line="259" w:lineRule="auto"/>
      </w:pPr>
      <w:r>
        <w:rPr>
          <w:rFonts w:ascii="Calibri" w:hAnsi="Calibri"/>
        </w:rPr>
        <w:t>If the webpage displays both “published” and “updated” dates, record both and use editorial judgement consistently; do not silently move an old article into the window because it was technically updated.</w:t>
      </w:r>
    </w:p>
    <w:p>
      <w:pPr>
        <w:pStyle w:val="ListBullet"/>
        <w:spacing w:after="60" w:line="259" w:lineRule="auto"/>
      </w:pPr>
      <w:r>
        <w:rPr>
          <w:rFonts w:ascii="Calibri" w:hAnsi="Calibri"/>
        </w:rPr>
        <w:t>Relative dates such as “today” or “yesterday” must be resolved against the page’s publication timestamp and converted into an exact date in the audit table.</w:t>
      </w:r>
    </w:p>
    <w:p>
      <w:pPr>
        <w:pStyle w:val="Heading2"/>
        <w:keepNext/>
      </w:pPr>
      <w:r>
        <w:rPr>
          <w:rFonts w:ascii="Calibri" w:hAnsi="Calibri"/>
        </w:rPr>
        <w:t>5.3 Include</w:t>
      </w:r>
    </w:p>
    <w:p>
      <w:pPr>
        <w:pStyle w:val="ListBullet"/>
        <w:spacing w:after="60" w:line="259" w:lineRule="auto"/>
      </w:pPr>
      <w:r>
        <w:rPr>
          <w:rFonts w:ascii="Calibri" w:hAnsi="Calibri"/>
        </w:rPr>
        <w:t>Libya-focused news, statements, interviews, official meetings, security incidents, court decisions, economic developments, environmental developments and regional/international engagement.</w:t>
      </w:r>
    </w:p>
    <w:p>
      <w:pPr>
        <w:pStyle w:val="ListBullet"/>
        <w:spacing w:after="60" w:line="259" w:lineRule="auto"/>
      </w:pPr>
      <w:r>
        <w:rPr>
          <w:rFonts w:ascii="Calibri" w:hAnsi="Calibri"/>
        </w:rPr>
        <w:t>Official UN, UNSMIL and UN-agency coverage, together with substantive reactions to UN processes.</w:t>
      </w:r>
    </w:p>
    <w:p>
      <w:pPr>
        <w:pStyle w:val="ListBullet"/>
        <w:spacing w:after="60" w:line="259" w:lineRule="auto"/>
      </w:pPr>
      <w:r>
        <w:rPr>
          <w:rFonts w:ascii="Calibri" w:hAnsi="Calibri"/>
        </w:rPr>
        <w:t>Analysis, opinion, features, think-tank papers, podcasts, documentaries and reports when they are substantively relevant and suitable for Varieties.</w:t>
      </w:r>
    </w:p>
    <w:p>
      <w:pPr>
        <w:pStyle w:val="ListBullet"/>
        <w:spacing w:after="60" w:line="259" w:lineRule="auto"/>
      </w:pPr>
      <w:r>
        <w:rPr>
          <w:rFonts w:ascii="Calibri" w:hAnsi="Calibri"/>
        </w:rPr>
        <w:t>New follow-up articles on a continuing story when they add a new statement, number, action, reaction or framing.</w:t>
      </w:r>
    </w:p>
    <w:p>
      <w:pPr>
        <w:pStyle w:val="ListBullet"/>
        <w:spacing w:after="60" w:line="259" w:lineRule="auto"/>
      </w:pPr>
      <w:r>
        <w:rPr>
          <w:rFonts w:ascii="Calibri" w:hAnsi="Calibri"/>
        </w:rPr>
        <w:t>Articles from the current approved source universe that meet the date and relevance tests.</w:t>
      </w:r>
    </w:p>
    <w:p>
      <w:pPr>
        <w:pStyle w:val="Heading2"/>
        <w:keepNext/>
      </w:pPr>
      <w:r>
        <w:rPr>
          <w:rFonts w:ascii="Calibri" w:hAnsi="Calibri"/>
        </w:rPr>
        <w:t>5.4 Exclude</w:t>
      </w:r>
    </w:p>
    <w:p>
      <w:pPr>
        <w:pStyle w:val="ListBullet"/>
        <w:spacing w:after="60" w:line="259" w:lineRule="auto"/>
      </w:pPr>
      <w:r>
        <w:rPr>
          <w:rFonts w:ascii="Calibri" w:hAnsi="Calibri"/>
        </w:rPr>
        <w:t>Homepages, category pages, navigation labels, tag pages, search pages and generic entries such as “News”, “Sports”, “Today”, “Month” or “Local”.</w:t>
      </w:r>
    </w:p>
    <w:p>
      <w:pPr>
        <w:pStyle w:val="ListBullet"/>
        <w:spacing w:after="60" w:line="259" w:lineRule="auto"/>
      </w:pPr>
      <w:r>
        <w:rPr>
          <w:rFonts w:ascii="Calibri" w:hAnsi="Calibri"/>
        </w:rPr>
        <w:t>Broken links, inaccessible pages without sufficient verification, undated pages and URLs that do not correspond to the named outlet or headline.</w:t>
      </w:r>
    </w:p>
    <w:p>
      <w:pPr>
        <w:pStyle w:val="ListBullet"/>
        <w:spacing w:after="60" w:line="259" w:lineRule="auto"/>
      </w:pPr>
      <w:r>
        <w:rPr>
          <w:rFonts w:ascii="Calibri" w:hAnsi="Calibri"/>
        </w:rPr>
        <w:t>Google News redirect URLs in the final document; resolve them to direct article pages.</w:t>
      </w:r>
    </w:p>
    <w:p>
      <w:pPr>
        <w:pStyle w:val="ListBullet"/>
        <w:spacing w:after="60" w:line="259" w:lineRule="auto"/>
      </w:pPr>
      <w:r>
        <w:rPr>
          <w:rFonts w:ascii="Calibri" w:hAnsi="Calibri"/>
        </w:rPr>
        <w:t>Non-Libya stories that entered the dataset through broad keywords or site navigation.</w:t>
      </w:r>
    </w:p>
    <w:p>
      <w:pPr>
        <w:pStyle w:val="ListBullet"/>
        <w:spacing w:after="60" w:line="259" w:lineRule="auto"/>
      </w:pPr>
      <w:r>
        <w:rPr>
          <w:rFonts w:ascii="Calibri" w:hAnsi="Calibri"/>
        </w:rPr>
        <w:t>Raw social-media posts unless the user explicitly requests social-media monitoring.</w:t>
      </w:r>
    </w:p>
    <w:p>
      <w:pPr>
        <w:pStyle w:val="ListBullet"/>
        <w:spacing w:after="60" w:line="259" w:lineRule="auto"/>
      </w:pPr>
      <w:r>
        <w:rPr>
          <w:rFonts w:ascii="Calibri" w:hAnsi="Calibri"/>
        </w:rPr>
        <w:t>Purely repetitive syndicated copies with no independent value, except where the strict UN visibility rule applies.</w:t>
      </w:r>
    </w:p>
    <w:p>
      <w:pPr>
        <w:pStyle w:val="ListBullet"/>
        <w:spacing w:after="60" w:line="259" w:lineRule="auto"/>
      </w:pPr>
      <w:r>
        <w:rPr>
          <w:rFonts w:ascii="Calibri" w:hAnsi="Calibri"/>
        </w:rPr>
        <w:t>Articles outside the reporting window unless the user instructs otherwise.</w:t>
      </w:r>
    </w:p>
    <w:p>
      <w:pPr>
        <w:pStyle w:val="ListBullet"/>
        <w:spacing w:after="60" w:line="259" w:lineRule="auto"/>
      </w:pPr>
      <w:r>
        <w:rPr>
          <w:rFonts w:ascii="Calibri" w:hAnsi="Calibri"/>
        </w:rPr>
        <w:t>Unsupported AI synthesis, invented roles, inferred facts or combined claims not present in the source material.</w:t>
      </w:r>
    </w:p>
    <w:p>
      <w:pPr>
        <w:pStyle w:val="Heading1"/>
        <w:keepNext/>
        <w:pBdr>
          <w:bottom w:val="single" w:sz="8" w:space="4" w:color="D9E2E8"/>
        </w:pBdr>
      </w:pPr>
      <w:r>
        <w:rPr>
          <w:rFonts w:ascii="Calibri" w:hAnsi="Calibri"/>
        </w:rPr>
        <w:t>6. United Nations special handling</w:t>
      </w:r>
    </w:p>
    <w:tbl>
      <w:tblPr>
        <w:tblW w:type="auto" w:w="0"/>
        <w:jc w:val="center"/>
        <w:tblLayout w:type="autofit"/>
        <w:tblLook w:firstColumn="1" w:firstRow="1" w:lastColumn="0" w:lastRow="0" w:noHBand="0" w:noVBand="1" w:val="04A0"/>
      </w:tblPr>
      <w:tblGrid>
        <w:gridCol w:w="9994"/>
      </w:tblGrid>
      <w:tr>
        <w:trPr>
          <w:cantSplit/>
        </w:trPr>
        <w:tc>
          <w:tcPr>
            <w:tcW w:type="dxa" w:w="9994"/>
            <w:shd w:fill="FFF2CC"/>
            <w:tcMar>
              <w:top w:w="120" w:type="dxa"/>
              <w:start w:w="160" w:type="dxa"/>
              <w:bottom w:w="120" w:type="dxa"/>
              <w:end w:w="160" w:type="dxa"/>
            </w:tcMar>
          </w:tcPr>
          <w:p>
            <w:pPr>
              <w:spacing w:after="60"/>
            </w:pPr>
            <w:r>
              <w:rPr>
                <w:b/>
                <w:color w:val="0F4761"/>
              </w:rPr>
              <w:t>Core rule</w:t>
            </w:r>
          </w:p>
          <w:p>
            <w:pPr>
              <w:spacing w:after="0"/>
            </w:pPr>
            <w:r>
              <w:t>Every distinct UN-related article or materially distinct framing must remain visible as its own bullet. Never remove a valid in-window UN article merely because another outlet covered the same briefing, meeting, statement or process.</w:t>
            </w:r>
          </w:p>
        </w:tc>
      </w:tr>
    </w:tbl>
    <w:p>
      <w:pPr>
        <w:pStyle w:val="Heading2"/>
        <w:keepNext/>
      </w:pPr>
      <w:r>
        <w:rPr>
          <w:rFonts w:ascii="Calibri" w:hAnsi="Calibri"/>
        </w:rPr>
        <w:t>6.1 What counts as UN-related</w:t>
      </w:r>
    </w:p>
    <w:p>
      <w:pPr>
        <w:pStyle w:val="ListBullet"/>
        <w:spacing w:after="60" w:line="259" w:lineRule="auto"/>
      </w:pPr>
      <w:r>
        <w:rPr>
          <w:rFonts w:ascii="Calibri" w:hAnsi="Calibri"/>
        </w:rPr>
        <w:t>UNSMIL, the SRSG, DSRSGs and official Mission statements or activities.</w:t>
      </w:r>
    </w:p>
    <w:p>
      <w:pPr>
        <w:pStyle w:val="ListBullet"/>
        <w:spacing w:after="60" w:line="259" w:lineRule="auto"/>
      </w:pPr>
      <w:r>
        <w:rPr>
          <w:rFonts w:ascii="Calibri" w:hAnsi="Calibri"/>
        </w:rPr>
        <w:t>UN Security Council briefings, meetings, press statements and member-state reactions delivered in the UN context.</w:t>
      </w:r>
    </w:p>
    <w:p>
      <w:pPr>
        <w:pStyle w:val="ListBullet"/>
        <w:spacing w:after="60" w:line="259" w:lineRule="auto"/>
      </w:pPr>
      <w:r>
        <w:rPr>
          <w:rFonts w:ascii="Calibri" w:hAnsi="Calibri"/>
        </w:rPr>
        <w:t>UN News, UN Meetings Coverage, official UN press releases and official UN video/media coverage.</w:t>
      </w:r>
    </w:p>
    <w:p>
      <w:pPr>
        <w:pStyle w:val="ListBullet"/>
        <w:spacing w:after="60" w:line="259" w:lineRule="auto"/>
      </w:pPr>
      <w:r>
        <w:rPr>
          <w:rFonts w:ascii="Calibri" w:hAnsi="Calibri"/>
        </w:rPr>
        <w:t>UNHCR, IOM, UNICEF, UNDP, UNESCO, WHO and other UN entities when the item concerns Libya.</w:t>
      </w:r>
    </w:p>
    <w:p>
      <w:pPr>
        <w:pStyle w:val="ListBullet"/>
        <w:spacing w:after="60" w:line="259" w:lineRule="auto"/>
      </w:pPr>
      <w:r>
        <w:rPr>
          <w:rFonts w:ascii="Calibri" w:hAnsi="Calibri"/>
        </w:rPr>
        <w:t>Libyan or international political reactions whose central subject is an UNSMIL roadmap, Structured Dialogue, Security Council briefing or other UN process.</w:t>
      </w:r>
    </w:p>
    <w:p>
      <w:pPr>
        <w:pStyle w:val="Heading2"/>
        <w:keepNext/>
      </w:pPr>
      <w:r>
        <w:rPr>
          <w:rFonts w:ascii="Calibri" w:hAnsi="Calibri"/>
        </w:rPr>
        <w:t>6.2 Separate-bullet rule</w:t>
      </w:r>
    </w:p>
    <w:p>
      <w:pPr>
        <w:pStyle w:val="ListBullet"/>
        <w:spacing w:after="60" w:line="259" w:lineRule="auto"/>
      </w:pPr>
      <w:r>
        <w:rPr>
          <w:rFonts w:ascii="Calibri" w:hAnsi="Calibri"/>
        </w:rPr>
        <w:t>Do not merge distinct UN article URLs into one generic summary merely because they describe the same event.</w:t>
      </w:r>
    </w:p>
    <w:p>
      <w:pPr>
        <w:pStyle w:val="ListBullet"/>
        <w:spacing w:after="60" w:line="259" w:lineRule="auto"/>
      </w:pPr>
      <w:r>
        <w:rPr>
          <w:rFonts w:ascii="Calibri" w:hAnsi="Calibri"/>
        </w:rPr>
        <w:t>Preserve differences in headline framing: elections, misinformation, security, economy, corruption, institutional unity and migrant protection are separate editorial angles.</w:t>
      </w:r>
    </w:p>
    <w:p>
      <w:pPr>
        <w:pStyle w:val="ListBullet"/>
        <w:spacing w:after="60" w:line="259" w:lineRule="auto"/>
      </w:pPr>
      <w:r>
        <w:rPr>
          <w:rFonts w:ascii="Calibri" w:hAnsi="Calibri"/>
        </w:rPr>
        <w:t>Exact mirrored copies or literal reposts may share one bullet only when they are demonstrably identical and no coverage is lost; when uncertain, keep them separate.</w:t>
      </w:r>
    </w:p>
    <w:p>
      <w:pPr>
        <w:pStyle w:val="ListBullet"/>
        <w:spacing w:after="60" w:line="259" w:lineRule="auto"/>
      </w:pPr>
      <w:r>
        <w:rPr>
          <w:rFonts w:ascii="Calibri" w:hAnsi="Calibri"/>
        </w:rPr>
        <w:t>UN coverage must be checked again after deduplication to ensure no item disappeared.</w:t>
      </w:r>
    </w:p>
    <w:p>
      <w:pPr>
        <w:pStyle w:val="Heading2"/>
        <w:keepNext/>
      </w:pPr>
      <w:r>
        <w:rPr>
          <w:rFonts w:ascii="Calibri" w:hAnsi="Calibri"/>
        </w:rPr>
        <w:t>6.3 UN subsection logic</w:t>
      </w:r>
    </w:p>
    <w:p>
      <w:pPr>
        <w:pStyle w:val="ListBullet"/>
        <w:spacing w:after="60" w:line="259" w:lineRule="auto"/>
      </w:pPr>
      <w:r>
        <w:rPr>
          <w:rFonts w:ascii="Calibri" w:hAnsi="Calibri"/>
        </w:rPr>
        <w:t>Structured Dialogue</w:t>
      </w:r>
    </w:p>
    <w:p>
      <w:pPr>
        <w:pStyle w:val="ListBullet"/>
        <w:spacing w:after="60" w:line="259" w:lineRule="auto"/>
      </w:pPr>
      <w:r>
        <w:rPr>
          <w:rFonts w:ascii="Calibri" w:hAnsi="Calibri"/>
        </w:rPr>
        <w:t>UN Security Council Briefing</w:t>
      </w:r>
    </w:p>
    <w:p>
      <w:pPr>
        <w:pStyle w:val="ListBullet"/>
        <w:spacing w:after="60" w:line="259" w:lineRule="auto"/>
      </w:pPr>
      <w:r>
        <w:rPr>
          <w:rFonts w:ascii="Calibri" w:hAnsi="Calibri"/>
        </w:rPr>
        <w:t>SRSG Hanna Tetteh meetings</w:t>
      </w:r>
    </w:p>
    <w:p>
      <w:pPr>
        <w:pStyle w:val="ListBullet"/>
        <w:spacing w:after="60" w:line="259" w:lineRule="auto"/>
      </w:pPr>
      <w:r>
        <w:rPr>
          <w:rFonts w:ascii="Calibri" w:hAnsi="Calibri"/>
        </w:rPr>
        <w:t>DSRSG-P meetings</w:t>
      </w:r>
    </w:p>
    <w:p>
      <w:pPr>
        <w:pStyle w:val="ListBullet"/>
        <w:spacing w:after="60" w:line="259" w:lineRule="auto"/>
      </w:pPr>
      <w:r>
        <w:rPr>
          <w:rFonts w:ascii="Calibri" w:hAnsi="Calibri"/>
        </w:rPr>
        <w:t>International and Libyan Reactions</w:t>
      </w:r>
    </w:p>
    <w:p>
      <w:pPr>
        <w:pStyle w:val="ListBullet"/>
        <w:spacing w:after="60" w:line="259" w:lineRule="auto"/>
      </w:pPr>
      <w:r>
        <w:rPr>
          <w:rFonts w:ascii="Calibri" w:hAnsi="Calibri"/>
        </w:rPr>
        <w:t>UN migration and humanitarian response</w:t>
      </w:r>
    </w:p>
    <w:p>
      <w:pPr>
        <w:pStyle w:val="ListBullet"/>
        <w:spacing w:after="60" w:line="259" w:lineRule="auto"/>
      </w:pPr>
      <w:r>
        <w:rPr>
          <w:rFonts w:ascii="Calibri" w:hAnsi="Calibri"/>
        </w:rPr>
        <w:t>Other UN News</w:t>
      </w:r>
    </w:p>
    <w:p>
      <w:r>
        <w:rPr>
          <w:rFonts w:ascii="Calibri" w:hAnsi="Calibri"/>
        </w:rPr>
        <w:t>Subsections are created only when supported by the day’s coverage. Do not create empty headings or force every report to use the same UN subsection set.</w:t>
      </w:r>
    </w:p>
    <w:p>
      <w:pPr>
        <w:pStyle w:val="Heading2"/>
        <w:keepNext/>
      </w:pPr>
      <w:r>
        <w:rPr>
          <w:rFonts w:ascii="Calibri" w:hAnsi="Calibri"/>
        </w:rPr>
        <w:t>6.4 Error that must not recur</w:t>
      </w:r>
    </w:p>
    <w:p>
      <w:pPr>
        <w:pStyle w:val="Example"/>
      </w:pPr>
      <w:r>
        <w:rPr>
          <w:rFonts w:ascii="Calibri" w:hAnsi="Calibri"/>
        </w:rPr>
        <w:t>An in-window article such as “Libya’s political process regains momentum, but window for action is narrowing, UN envoy warns” must not be dropped simply because it is associated with an earlier Security Council briefing. Its publication date and separate article framing make it reportable in the requested window.</w:t>
      </w:r>
    </w:p>
    <w:p>
      <w:pPr>
        <w:pStyle w:val="Heading1"/>
        <w:keepNext/>
        <w:pBdr>
          <w:bottom w:val="single" w:sz="8" w:space="4" w:color="D9E2E8"/>
        </w:pBdr>
      </w:pPr>
      <w:r>
        <w:rPr>
          <w:rFonts w:ascii="Calibri" w:hAnsi="Calibri"/>
        </w:rPr>
        <w:t>7. Story clustering and duplicate handling</w:t>
      </w:r>
    </w:p>
    <w:p>
      <w:pPr>
        <w:pStyle w:val="Heading2"/>
        <w:keepNext/>
      </w:pPr>
      <w:r>
        <w:rPr>
          <w:rFonts w:ascii="Calibri" w:hAnsi="Calibri"/>
        </w:rPr>
        <w:t>7.1 Define the unit of duplication</w:t>
      </w:r>
    </w:p>
    <w:p>
      <w:r>
        <w:rPr>
          <w:rFonts w:ascii="Calibri" w:hAnsi="Calibri"/>
        </w:rPr>
        <w:t>Two records are duplicates only when they report materially the same event, fact, actor position and news angle. Shared keywords or the same meeting do not automatically make them duplicates.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3"/>
            <w:vAlign w:val="center"/>
          </w:tcPr>
          <w:p>
            <w:r>
              <w:rPr>
                <w:b/>
              </w:rPr>
              <w:t>Situation</w:t>
            </w:r>
          </w:p>
        </w:tc>
        <w:tc>
          <w:tcPr>
            <w:tcW w:type="dxa" w:w="3331"/>
            <w:shd w:fill="D9EAF3"/>
            <w:vAlign w:val="center"/>
          </w:tcPr>
          <w:p>
            <w:r>
              <w:rPr>
                <w:b/>
              </w:rPr>
              <w:t>Correct PICS treatment</w:t>
            </w:r>
          </w:p>
        </w:tc>
        <w:tc>
          <w:tcPr>
            <w:tcW w:type="dxa" w:w="3331"/>
            <w:shd w:fill="D9EAF3"/>
            <w:vAlign w:val="center"/>
          </w:tcPr>
          <w:p>
            <w:r>
              <w:rPr>
                <w:b/>
              </w:rPr>
              <w:t>Avoid</w:t>
            </w:r>
          </w:p>
        </w:tc>
      </w:tr>
      <w:tr>
        <w:trPr>
          <w:cantSplit/>
        </w:trPr>
        <w:tc>
          <w:tcPr>
            <w:tcW w:type="dxa" w:w="3331"/>
            <w:tcMar>
              <w:top w:w="80" w:type="dxa"/>
              <w:start w:w="100" w:type="dxa"/>
              <w:bottom w:w="80" w:type="dxa"/>
              <w:end w:w="100" w:type="dxa"/>
            </w:tcMar>
            <w:vAlign w:val="top"/>
          </w:tcPr>
          <w:p>
            <w:r>
              <w:t>Same official announcement, same fact</w:t>
            </w:r>
          </w:p>
        </w:tc>
        <w:tc>
          <w:tcPr>
            <w:tcW w:type="dxa" w:w="3331"/>
            <w:tcMar>
              <w:top w:w="80" w:type="dxa"/>
              <w:start w:w="100" w:type="dxa"/>
              <w:bottom w:w="80" w:type="dxa"/>
              <w:end w:w="100" w:type="dxa"/>
            </w:tcMar>
            <w:vAlign w:val="top"/>
          </w:tcPr>
          <w:p>
            <w:r>
              <w:t>Combine non-UN sources on one headline using “ / ” between linked source names.</w:t>
            </w:r>
          </w:p>
        </w:tc>
        <w:tc>
          <w:tcPr>
            <w:tcW w:type="dxa" w:w="3331"/>
            <w:tcMar>
              <w:top w:w="80" w:type="dxa"/>
              <w:start w:w="100" w:type="dxa"/>
              <w:bottom w:w="80" w:type="dxa"/>
              <w:end w:w="100" w:type="dxa"/>
            </w:tcMar>
            <w:vAlign w:val="top"/>
          </w:tcPr>
          <w:p>
            <w:r>
              <w:t>Separate near-identical bullets that add no information.</w:t>
            </w:r>
          </w:p>
        </w:tc>
      </w:tr>
      <w:tr>
        <w:trPr>
          <w:cantSplit/>
        </w:trPr>
        <w:tc>
          <w:tcPr>
            <w:tcW w:type="dxa" w:w="3331"/>
            <w:tcMar>
              <w:top w:w="80" w:type="dxa"/>
              <w:start w:w="100" w:type="dxa"/>
              <w:bottom w:w="80" w:type="dxa"/>
              <w:end w:w="100" w:type="dxa"/>
            </w:tcMar>
            <w:vAlign w:val="top"/>
          </w:tcPr>
          <w:p>
            <w:r>
              <w:t>Same meeting, different quotation</w:t>
            </w:r>
          </w:p>
        </w:tc>
        <w:tc>
          <w:tcPr>
            <w:tcW w:type="dxa" w:w="3331"/>
            <w:tcMar>
              <w:top w:w="80" w:type="dxa"/>
              <w:start w:w="100" w:type="dxa"/>
              <w:bottom w:w="80" w:type="dxa"/>
              <w:end w:w="100" w:type="dxa"/>
            </w:tcMar>
            <w:vAlign w:val="top"/>
          </w:tcPr>
          <w:p>
            <w:r>
              <w:t>Keep separate bullets if each article highlights a different substantive statement.</w:t>
            </w:r>
          </w:p>
        </w:tc>
        <w:tc>
          <w:tcPr>
            <w:tcW w:type="dxa" w:w="3331"/>
            <w:tcMar>
              <w:top w:w="80" w:type="dxa"/>
              <w:start w:w="100" w:type="dxa"/>
              <w:bottom w:w="80" w:type="dxa"/>
              <w:end w:w="100" w:type="dxa"/>
            </w:tcMar>
            <w:vAlign w:val="top"/>
          </w:tcPr>
          <w:p>
            <w:r>
              <w:t>Collapse all meeting coverage into a vague summary.</w:t>
            </w:r>
          </w:p>
        </w:tc>
      </w:tr>
      <w:tr>
        <w:trPr>
          <w:cantSplit/>
        </w:trPr>
        <w:tc>
          <w:tcPr>
            <w:tcW w:type="dxa" w:w="3331"/>
            <w:tcMar>
              <w:top w:w="80" w:type="dxa"/>
              <w:start w:w="100" w:type="dxa"/>
              <w:bottom w:w="80" w:type="dxa"/>
              <w:end w:w="100" w:type="dxa"/>
            </w:tcMar>
            <w:vAlign w:val="top"/>
          </w:tcPr>
          <w:p>
            <w:r>
              <w:t>Same migration incident, different casualty figures</w:t>
            </w:r>
          </w:p>
        </w:tc>
        <w:tc>
          <w:tcPr>
            <w:tcW w:type="dxa" w:w="3331"/>
            <w:tcMar>
              <w:top w:w="80" w:type="dxa"/>
              <w:start w:w="100" w:type="dxa"/>
              <w:bottom w:w="80" w:type="dxa"/>
              <w:end w:w="100" w:type="dxa"/>
            </w:tcMar>
            <w:vAlign w:val="top"/>
          </w:tcPr>
          <w:p>
            <w:r>
              <w:t>Keep separate until figures are reconciled; then write accurately and note distinct developments if necessary.</w:t>
            </w:r>
          </w:p>
        </w:tc>
        <w:tc>
          <w:tcPr>
            <w:tcW w:type="dxa" w:w="3331"/>
            <w:tcMar>
              <w:top w:w="80" w:type="dxa"/>
              <w:start w:w="100" w:type="dxa"/>
              <w:bottom w:w="80" w:type="dxa"/>
              <w:end w:w="100" w:type="dxa"/>
            </w:tcMar>
            <w:vAlign w:val="top"/>
          </w:tcPr>
          <w:p>
            <w:r>
              <w:t>Merge incompatible numbers into one unsupported headline.</w:t>
            </w:r>
          </w:p>
        </w:tc>
      </w:tr>
      <w:tr>
        <w:trPr>
          <w:cantSplit/>
        </w:trPr>
        <w:tc>
          <w:tcPr>
            <w:tcW w:type="dxa" w:w="3331"/>
            <w:tcMar>
              <w:top w:w="80" w:type="dxa"/>
              <w:start w:w="100" w:type="dxa"/>
              <w:bottom w:w="80" w:type="dxa"/>
              <w:end w:w="100" w:type="dxa"/>
            </w:tcMar>
            <w:vAlign w:val="top"/>
          </w:tcPr>
          <w:p>
            <w:r>
              <w:t>UN briefing covered by several outlets</w:t>
            </w:r>
          </w:p>
        </w:tc>
        <w:tc>
          <w:tcPr>
            <w:tcW w:type="dxa" w:w="3331"/>
            <w:tcMar>
              <w:top w:w="80" w:type="dxa"/>
              <w:start w:w="100" w:type="dxa"/>
              <w:bottom w:w="80" w:type="dxa"/>
              <w:end w:w="100" w:type="dxa"/>
            </w:tcMar>
            <w:vAlign w:val="top"/>
          </w:tcPr>
          <w:p>
            <w:r>
              <w:t>Keep each materially distinct UN article/framing visible.</w:t>
            </w:r>
          </w:p>
        </w:tc>
        <w:tc>
          <w:tcPr>
            <w:tcW w:type="dxa" w:w="3331"/>
            <w:tcMar>
              <w:top w:w="80" w:type="dxa"/>
              <w:start w:w="100" w:type="dxa"/>
              <w:bottom w:w="80" w:type="dxa"/>
              <w:end w:w="100" w:type="dxa"/>
            </w:tcMar>
            <w:vAlign w:val="top"/>
          </w:tcPr>
          <w:p>
            <w:r>
              <w:t>Delete later articles as duplicates without reviewing their framing.</w:t>
            </w:r>
          </w:p>
        </w:tc>
      </w:tr>
      <w:tr>
        <w:trPr>
          <w:cantSplit/>
        </w:trPr>
        <w:tc>
          <w:tcPr>
            <w:tcW w:type="dxa" w:w="3331"/>
            <w:tcMar>
              <w:top w:w="80" w:type="dxa"/>
              <w:start w:w="100" w:type="dxa"/>
              <w:bottom w:w="80" w:type="dxa"/>
              <w:end w:w="100" w:type="dxa"/>
            </w:tcMar>
            <w:vAlign w:val="top"/>
          </w:tcPr>
          <w:p>
            <w:r>
              <w:t>Literal syndicated copy</w:t>
            </w:r>
          </w:p>
        </w:tc>
        <w:tc>
          <w:tcPr>
            <w:tcW w:type="dxa" w:w="3331"/>
            <w:tcMar>
              <w:top w:w="80" w:type="dxa"/>
              <w:start w:w="100" w:type="dxa"/>
              <w:bottom w:w="80" w:type="dxa"/>
              <w:end w:w="100" w:type="dxa"/>
            </w:tcMar>
            <w:vAlign w:val="top"/>
          </w:tcPr>
          <w:p>
            <w:r>
              <w:t>May consolidate if text and framing are identical and no strict UN exception applies.</w:t>
            </w:r>
          </w:p>
        </w:tc>
        <w:tc>
          <w:tcPr>
            <w:tcW w:type="dxa" w:w="3331"/>
            <w:tcMar>
              <w:top w:w="80" w:type="dxa"/>
              <w:start w:w="100" w:type="dxa"/>
              <w:bottom w:w="80" w:type="dxa"/>
              <w:end w:w="100" w:type="dxa"/>
            </w:tcMar>
            <w:vAlign w:val="top"/>
          </w:tcPr>
          <w:p>
            <w:r>
              <w:t>List dozens of identical wire copies without editorial value.</w:t>
            </w:r>
          </w:p>
        </w:tc>
      </w:tr>
    </w:tbl>
    <w:p>
      <w:pPr>
        <w:pStyle w:val="Heading2"/>
        <w:keepNext/>
      </w:pPr>
      <w:r>
        <w:rPr>
          <w:rFonts w:ascii="Calibri" w:hAnsi="Calibri"/>
        </w:rPr>
        <w:t>7.2 Consolidation rules for non-UN stories</w:t>
      </w:r>
    </w:p>
    <w:p>
      <w:pPr>
        <w:pStyle w:val="ListBullet"/>
        <w:spacing w:after="60" w:line="259" w:lineRule="auto"/>
      </w:pPr>
      <w:r>
        <w:rPr>
          <w:rFonts w:ascii="Calibri" w:hAnsi="Calibri"/>
        </w:rPr>
        <w:t>Use one concise English headline followed by all eligible sources separated by “ / ”.</w:t>
      </w:r>
    </w:p>
    <w:p>
      <w:pPr>
        <w:pStyle w:val="ListBullet"/>
        <w:spacing w:after="60" w:line="259" w:lineRule="auto"/>
      </w:pPr>
      <w:r>
        <w:rPr>
          <w:rFonts w:ascii="Calibri" w:hAnsi="Calibri"/>
        </w:rPr>
        <w:t>Preserve source-specific language markers and hyperlink each source name separately.</w:t>
      </w:r>
    </w:p>
    <w:p>
      <w:pPr>
        <w:pStyle w:val="ListBullet"/>
        <w:spacing w:after="60" w:line="259" w:lineRule="auto"/>
      </w:pPr>
      <w:r>
        <w:rPr>
          <w:rFonts w:ascii="Calibri" w:hAnsi="Calibri"/>
        </w:rPr>
        <w:t>Do not combine allegations with confirmations, proposals with decisions, warnings with actions, or commentary with straight news.</w:t>
      </w:r>
    </w:p>
    <w:p>
      <w:pPr>
        <w:pStyle w:val="ListBullet"/>
        <w:spacing w:after="60" w:line="259" w:lineRule="auto"/>
      </w:pPr>
      <w:r>
        <w:rPr>
          <w:rFonts w:ascii="Calibri" w:hAnsi="Calibri"/>
        </w:rPr>
        <w:t>Do not merge different geographic incidents merely because they belong to the same general theme.</w:t>
      </w:r>
    </w:p>
    <w:p>
      <w:pPr>
        <w:pStyle w:val="ListBullet"/>
        <w:spacing w:after="60" w:line="259" w:lineRule="auto"/>
      </w:pPr>
      <w:r>
        <w:rPr>
          <w:rFonts w:ascii="Calibri" w:hAnsi="Calibri"/>
        </w:rPr>
        <w:t>Do not remove local coverage simply because an international outlet reported the same broad issue if the local item contains a distinct fact or official statement.</w:t>
      </w:r>
    </w:p>
    <w:p>
      <w:pPr>
        <w:pStyle w:val="Heading2"/>
        <w:keepNext/>
      </w:pPr>
      <w:r>
        <w:rPr>
          <w:rFonts w:ascii="Calibri" w:hAnsi="Calibri"/>
        </w:rPr>
        <w:t>7.3 Reconciliation check</w:t>
      </w:r>
    </w:p>
    <w:p>
      <w:pPr>
        <w:pStyle w:val="ListBullet"/>
        <w:spacing w:after="60" w:line="259" w:lineRule="auto"/>
      </w:pPr>
      <w:r>
        <w:rPr>
          <w:rFonts w:ascii="Calibri" w:hAnsi="Calibri"/>
        </w:rPr>
        <w:t>Count input records, included bullets, consolidated source links and excluded records.</w:t>
      </w:r>
    </w:p>
    <w:p>
      <w:pPr>
        <w:pStyle w:val="ListBullet"/>
        <w:spacing w:after="60" w:line="259" w:lineRule="auto"/>
      </w:pPr>
      <w:r>
        <w:rPr>
          <w:rFonts w:ascii="Calibri" w:hAnsi="Calibri"/>
        </w:rPr>
        <w:t>Every candidate must have a traceable outcome: included, consolidated into a named cluster, excluded with reason, or pending verification.</w:t>
      </w:r>
    </w:p>
    <w:p>
      <w:pPr>
        <w:pStyle w:val="ListBullet"/>
        <w:spacing w:after="60" w:line="259" w:lineRule="auto"/>
      </w:pPr>
      <w:r>
        <w:rPr>
          <w:rFonts w:ascii="Calibri" w:hAnsi="Calibri"/>
        </w:rPr>
        <w:t>A large unexplained drop in story count is a warning signal and requires a second review.</w:t>
      </w:r>
    </w:p>
    <w:p>
      <w:pPr>
        <w:pStyle w:val="Heading1"/>
        <w:keepNext/>
        <w:pBdr>
          <w:bottom w:val="single" w:sz="8" w:space="4" w:color="D9E2E8"/>
        </w:pBdr>
      </w:pPr>
      <w:r>
        <w:rPr>
          <w:rFonts w:ascii="Calibri" w:hAnsi="Calibri"/>
        </w:rPr>
        <w:t>8. PICS headline-writing standard</w:t>
      </w:r>
    </w:p>
    <w:p>
      <w:pPr>
        <w:pStyle w:val="Heading2"/>
        <w:keepNext/>
      </w:pPr>
      <w:r>
        <w:rPr>
          <w:rFonts w:ascii="Calibri" w:hAnsi="Calibri"/>
        </w:rPr>
        <w:t>8.1 Core construction</w:t>
      </w:r>
    </w:p>
    <w:p>
      <w:pPr>
        <w:pStyle w:val="ListBullet"/>
        <w:spacing w:after="60" w:line="259" w:lineRule="auto"/>
      </w:pPr>
      <w:r>
        <w:rPr>
          <w:rFonts w:ascii="Calibri" w:hAnsi="Calibri"/>
        </w:rPr>
        <w:t>Lead with the new fact, action, statement or decision.</w:t>
      </w:r>
    </w:p>
    <w:p>
      <w:pPr>
        <w:pStyle w:val="ListBullet"/>
        <w:spacing w:after="60" w:line="259" w:lineRule="auto"/>
      </w:pPr>
      <w:r>
        <w:rPr>
          <w:rFonts w:ascii="Calibri" w:hAnsi="Calibri"/>
        </w:rPr>
        <w:t>Use one concise sentence whenever possible.</w:t>
      </w:r>
    </w:p>
    <w:p>
      <w:pPr>
        <w:pStyle w:val="ListBullet"/>
        <w:spacing w:after="60" w:line="259" w:lineRule="auto"/>
      </w:pPr>
      <w:r>
        <w:rPr>
          <w:rFonts w:ascii="Calibri" w:hAnsi="Calibri"/>
        </w:rPr>
        <w:t>Preserve attribution when the item is an opinion, allegation, forecast or political claim.</w:t>
      </w:r>
    </w:p>
    <w:p>
      <w:pPr>
        <w:pStyle w:val="ListBullet"/>
        <w:spacing w:after="60" w:line="259" w:lineRule="auto"/>
      </w:pPr>
      <w:r>
        <w:rPr>
          <w:rFonts w:ascii="Calibri" w:hAnsi="Calibri"/>
        </w:rPr>
        <w:t>Retain meaningful numbers, deadlines, locations, institutional names and official positions.</w:t>
      </w:r>
    </w:p>
    <w:p>
      <w:pPr>
        <w:pStyle w:val="ListBullet"/>
        <w:spacing w:after="60" w:line="259" w:lineRule="auto"/>
      </w:pPr>
      <w:r>
        <w:rPr>
          <w:rFonts w:ascii="Calibri" w:hAnsi="Calibri"/>
        </w:rPr>
        <w:t>Use British English: programme, labour, centre, defence, organisation, finalise.</w:t>
      </w:r>
    </w:p>
    <w:p>
      <w:pPr>
        <w:pStyle w:val="ListBullet"/>
        <w:spacing w:after="60" w:line="259" w:lineRule="auto"/>
      </w:pPr>
      <w:r>
        <w:rPr>
          <w:rFonts w:ascii="Calibri" w:hAnsi="Calibri"/>
        </w:rPr>
        <w:t>Use established PICS terminology for Libyan institutions and UN roles.</w:t>
      </w:r>
    </w:p>
    <w:p>
      <w:pPr>
        <w:pStyle w:val="ListBullet"/>
        <w:spacing w:after="60" w:line="259" w:lineRule="auto"/>
      </w:pPr>
      <w:r>
        <w:rPr>
          <w:rFonts w:ascii="Calibri" w:hAnsi="Calibri"/>
        </w:rPr>
        <w:t>Write in neutral monitoring language; do not endorse the source’s claim.</w:t>
      </w:r>
    </w:p>
    <w:p>
      <w:pPr>
        <w:pStyle w:val="Heading2"/>
        <w:keepNext/>
      </w:pPr>
      <w:r>
        <w:rPr>
          <w:rFonts w:ascii="Calibri" w:hAnsi="Calibri"/>
        </w:rPr>
        <w:t>8.2 Avoid generic AI synthesis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3"/>
            <w:vAlign w:val="center"/>
          </w:tcPr>
          <w:p>
            <w:r>
              <w:rPr>
                <w:b/>
              </w:rPr>
              <w:t>Situation</w:t>
            </w:r>
          </w:p>
        </w:tc>
        <w:tc>
          <w:tcPr>
            <w:tcW w:type="dxa" w:w="3331"/>
            <w:shd w:fill="D9EAF3"/>
            <w:vAlign w:val="center"/>
          </w:tcPr>
          <w:p>
            <w:r>
              <w:rPr>
                <w:b/>
              </w:rPr>
              <w:t>Correct PICS treatment</w:t>
            </w:r>
          </w:p>
        </w:tc>
        <w:tc>
          <w:tcPr>
            <w:tcW w:type="dxa" w:w="3331"/>
            <w:shd w:fill="D9EAF3"/>
            <w:vAlign w:val="center"/>
          </w:tcPr>
          <w:p>
            <w:r>
              <w:rPr>
                <w:b/>
              </w:rPr>
              <w:t>Avoid</w:t>
            </w:r>
          </w:p>
        </w:tc>
      </w:tr>
      <w:tr>
        <w:trPr>
          <w:cantSplit/>
        </w:trPr>
        <w:tc>
          <w:tcPr>
            <w:tcW w:type="dxa" w:w="3331"/>
            <w:tcMar>
              <w:top w:w="80" w:type="dxa"/>
              <w:start w:w="100" w:type="dxa"/>
              <w:bottom w:w="80" w:type="dxa"/>
              <w:end w:w="100" w:type="dxa"/>
            </w:tcMar>
            <w:vAlign w:val="top"/>
          </w:tcPr>
          <w:p>
            <w:r>
              <w:t>Named statement</w:t>
            </w:r>
          </w:p>
        </w:tc>
        <w:tc>
          <w:tcPr>
            <w:tcW w:type="dxa" w:w="3331"/>
            <w:tcMar>
              <w:top w:w="80" w:type="dxa"/>
              <w:start w:w="100" w:type="dxa"/>
              <w:bottom w:w="80" w:type="dxa"/>
              <w:end w:w="100" w:type="dxa"/>
            </w:tcMar>
            <w:vAlign w:val="top"/>
          </w:tcPr>
          <w:p>
            <w:r>
              <w:t>[HoR Member] Ouhida: The HoR and General Command are unlikely to differ over a path that unifies Libya.</w:t>
            </w:r>
          </w:p>
        </w:tc>
        <w:tc>
          <w:tcPr>
            <w:tcW w:type="dxa" w:w="3331"/>
            <w:tcMar>
              <w:top w:w="80" w:type="dxa"/>
              <w:start w:w="100" w:type="dxa"/>
              <w:bottom w:w="80" w:type="dxa"/>
              <w:end w:w="100" w:type="dxa"/>
            </w:tcMar>
            <w:vAlign w:val="top"/>
          </w:tcPr>
          <w:p>
            <w:r>
              <w:t>[Political Figures] Calls continued for unity.</w:t>
            </w:r>
          </w:p>
        </w:tc>
      </w:tr>
      <w:tr>
        <w:trPr>
          <w:cantSplit/>
        </w:trPr>
        <w:tc>
          <w:tcPr>
            <w:tcW w:type="dxa" w:w="3331"/>
            <w:tcMar>
              <w:top w:w="80" w:type="dxa"/>
              <w:start w:w="100" w:type="dxa"/>
              <w:bottom w:w="80" w:type="dxa"/>
              <w:end w:w="100" w:type="dxa"/>
            </w:tcMar>
            <w:vAlign w:val="top"/>
          </w:tcPr>
          <w:p>
            <w:r>
              <w:t>Official meeting</w:t>
            </w:r>
          </w:p>
        </w:tc>
        <w:tc>
          <w:tcPr>
            <w:tcW w:type="dxa" w:w="3331"/>
            <w:tcMar>
              <w:top w:w="80" w:type="dxa"/>
              <w:start w:w="100" w:type="dxa"/>
              <w:bottom w:w="80" w:type="dxa"/>
              <w:end w:w="100" w:type="dxa"/>
            </w:tcMar>
            <w:vAlign w:val="top"/>
          </w:tcPr>
          <w:p>
            <w:r>
              <w:t>[PC President] Menfi and [HCS President] Takala discuss implementation of the three-council roadmap.</w:t>
            </w:r>
          </w:p>
        </w:tc>
        <w:tc>
          <w:tcPr>
            <w:tcW w:type="dxa" w:w="3331"/>
            <w:tcMar>
              <w:top w:w="80" w:type="dxa"/>
              <w:start w:w="100" w:type="dxa"/>
              <w:bottom w:w="80" w:type="dxa"/>
              <w:end w:w="100" w:type="dxa"/>
            </w:tcMar>
            <w:vAlign w:val="top"/>
          </w:tcPr>
          <w:p>
            <w:r>
              <w:t>Political actors held talks on the roadmap.</w:t>
            </w:r>
          </w:p>
        </w:tc>
      </w:tr>
      <w:tr>
        <w:trPr>
          <w:cantSplit/>
        </w:trPr>
        <w:tc>
          <w:tcPr>
            <w:tcW w:type="dxa" w:w="3331"/>
            <w:tcMar>
              <w:top w:w="80" w:type="dxa"/>
              <w:start w:w="100" w:type="dxa"/>
              <w:bottom w:w="80" w:type="dxa"/>
              <w:end w:w="100" w:type="dxa"/>
            </w:tcMar>
            <w:vAlign w:val="top"/>
          </w:tcPr>
          <w:p>
            <w:r>
              <w:t>Economic fact</w:t>
            </w:r>
          </w:p>
        </w:tc>
        <w:tc>
          <w:tcPr>
            <w:tcW w:type="dxa" w:w="3331"/>
            <w:tcMar>
              <w:top w:w="80" w:type="dxa"/>
              <w:start w:w="100" w:type="dxa"/>
              <w:bottom w:w="80" w:type="dxa"/>
              <w:end w:w="100" w:type="dxa"/>
            </w:tcMar>
            <w:vAlign w:val="top"/>
          </w:tcPr>
          <w:p>
            <w:r>
              <w:t>Brega supplies Misratah depot with 10 million litres of fuel.</w:t>
            </w:r>
          </w:p>
        </w:tc>
        <w:tc>
          <w:tcPr>
            <w:tcW w:type="dxa" w:w="3331"/>
            <w:tcMar>
              <w:top w:w="80" w:type="dxa"/>
              <w:start w:w="100" w:type="dxa"/>
              <w:bottom w:w="80" w:type="dxa"/>
              <w:end w:w="100" w:type="dxa"/>
            </w:tcMar>
            <w:vAlign w:val="top"/>
          </w:tcPr>
          <w:p>
            <w:r>
              <w:t>Fuel distribution efforts continued.</w:t>
            </w:r>
          </w:p>
        </w:tc>
      </w:tr>
      <w:tr>
        <w:trPr>
          <w:cantSplit/>
        </w:trPr>
        <w:tc>
          <w:tcPr>
            <w:tcW w:type="dxa" w:w="3331"/>
            <w:tcMar>
              <w:top w:w="80" w:type="dxa"/>
              <w:start w:w="100" w:type="dxa"/>
              <w:bottom w:w="80" w:type="dxa"/>
              <w:end w:w="100" w:type="dxa"/>
            </w:tcMar>
            <w:vAlign w:val="top"/>
          </w:tcPr>
          <w:p>
            <w:r>
              <w:t>Court decision</w:t>
            </w:r>
          </w:p>
        </w:tc>
        <w:tc>
          <w:tcPr>
            <w:tcW w:type="dxa" w:w="3331"/>
            <w:tcMar>
              <w:top w:w="80" w:type="dxa"/>
              <w:start w:w="100" w:type="dxa"/>
              <w:bottom w:w="80" w:type="dxa"/>
              <w:end w:w="100" w:type="dxa"/>
            </w:tcMar>
            <w:vAlign w:val="top"/>
          </w:tcPr>
          <w:p>
            <w:r>
              <w:t>Sabha Criminal Court sentences four defendants to death for intentional killing.</w:t>
            </w:r>
          </w:p>
        </w:tc>
        <w:tc>
          <w:tcPr>
            <w:tcW w:type="dxa" w:w="3331"/>
            <w:tcMar>
              <w:top w:w="80" w:type="dxa"/>
              <w:start w:w="100" w:type="dxa"/>
              <w:bottom w:w="80" w:type="dxa"/>
              <w:end w:w="100" w:type="dxa"/>
            </w:tcMar>
            <w:vAlign w:val="top"/>
          </w:tcPr>
          <w:p>
            <w:r>
              <w:t>[Court Ruling] A major judgment was issued.</w:t>
            </w:r>
          </w:p>
        </w:tc>
      </w:tr>
      <w:tr>
        <w:trPr>
          <w:cantSplit/>
        </w:trPr>
        <w:tc>
          <w:tcPr>
            <w:tcW w:type="dxa" w:w="3331"/>
            <w:tcMar>
              <w:top w:w="80" w:type="dxa"/>
              <w:start w:w="100" w:type="dxa"/>
              <w:bottom w:w="80" w:type="dxa"/>
              <w:end w:w="100" w:type="dxa"/>
            </w:tcMar>
            <w:vAlign w:val="top"/>
          </w:tcPr>
          <w:p>
            <w:r>
              <w:t>Analysis</w:t>
            </w:r>
          </w:p>
        </w:tc>
        <w:tc>
          <w:tcPr>
            <w:tcW w:type="dxa" w:w="3331"/>
            <w:tcMar>
              <w:top w:w="80" w:type="dxa"/>
              <w:start w:w="100" w:type="dxa"/>
              <w:bottom w:w="80" w:type="dxa"/>
              <w:end w:w="100" w:type="dxa"/>
            </w:tcMar>
            <w:vAlign w:val="top"/>
          </w:tcPr>
          <w:p>
            <w:r>
              <w:t>Analysis | US initiative reshapes alliances among Libya’s power centres.</w:t>
            </w:r>
          </w:p>
        </w:tc>
        <w:tc>
          <w:tcPr>
            <w:tcW w:type="dxa" w:w="3331"/>
            <w:tcMar>
              <w:top w:w="80" w:type="dxa"/>
              <w:start w:w="100" w:type="dxa"/>
              <w:bottom w:w="80" w:type="dxa"/>
              <w:end w:w="100" w:type="dxa"/>
            </w:tcMar>
            <w:vAlign w:val="top"/>
          </w:tcPr>
          <w:p>
            <w:r>
              <w:t>[Media Analysis] Coverage framed political developments broadly.</w:t>
            </w:r>
          </w:p>
        </w:tc>
      </w:tr>
    </w:tbl>
    <w:p>
      <w:pPr>
        <w:pStyle w:val="Heading2"/>
        <w:keepNext/>
      </w:pPr>
      <w:r>
        <w:rPr>
          <w:rFonts w:ascii="Calibri" w:hAnsi="Calibri"/>
        </w:rPr>
        <w:t>8.3 Degree of certainty</w:t>
      </w:r>
    </w:p>
    <w:p>
      <w:pPr>
        <w:pStyle w:val="ListBullet"/>
        <w:spacing w:after="60" w:line="259" w:lineRule="auto"/>
      </w:pPr>
      <w:r>
        <w:rPr>
          <w:rFonts w:ascii="Calibri" w:hAnsi="Calibri"/>
        </w:rPr>
        <w:t>Use “said”, “reported”, “alleged”, “warned”, “called for” or “argued” when the source does not establish the claim as fact.</w:t>
      </w:r>
    </w:p>
    <w:p>
      <w:pPr>
        <w:pStyle w:val="ListBullet"/>
        <w:spacing w:after="60" w:line="259" w:lineRule="auto"/>
      </w:pPr>
      <w:r>
        <w:rPr>
          <w:rFonts w:ascii="Calibri" w:hAnsi="Calibri"/>
        </w:rPr>
        <w:t>Do not convert an analyst’s prediction into a confirmed development.</w:t>
      </w:r>
    </w:p>
    <w:p>
      <w:pPr>
        <w:pStyle w:val="ListBullet"/>
        <w:spacing w:after="60" w:line="259" w:lineRule="auto"/>
      </w:pPr>
      <w:r>
        <w:rPr>
          <w:rFonts w:ascii="Calibri" w:hAnsi="Calibri"/>
        </w:rPr>
        <w:t>Do not turn a proposal, intention or discussion into an approved decision.</w:t>
      </w:r>
    </w:p>
    <w:p>
      <w:pPr>
        <w:pStyle w:val="ListBullet"/>
        <w:spacing w:after="60" w:line="259" w:lineRule="auto"/>
      </w:pPr>
      <w:r>
        <w:rPr>
          <w:rFonts w:ascii="Calibri" w:hAnsi="Calibri"/>
        </w:rPr>
        <w:t>Do not replace precise casualty or financial figures with approximations unless the sources genuinely conflict.</w:t>
      </w:r>
    </w:p>
    <w:p>
      <w:pPr>
        <w:pStyle w:val="Heading2"/>
        <w:keepNext/>
      </w:pPr>
      <w:r>
        <w:rPr>
          <w:rFonts w:ascii="Calibri" w:hAnsi="Calibri"/>
        </w:rPr>
        <w:t>8.4 Translation and transliteration</w:t>
      </w:r>
    </w:p>
    <w:p>
      <w:pPr>
        <w:pStyle w:val="ListBullet"/>
        <w:spacing w:after="60" w:line="259" w:lineRule="auto"/>
      </w:pPr>
      <w:r>
        <w:rPr>
          <w:rFonts w:ascii="Calibri" w:hAnsi="Calibri"/>
        </w:rPr>
        <w:t>Translate meaning in context rather than word-for-word.</w:t>
      </w:r>
    </w:p>
    <w:p>
      <w:pPr>
        <w:pStyle w:val="ListBullet"/>
        <w:spacing w:after="60" w:line="259" w:lineRule="auto"/>
      </w:pPr>
      <w:r>
        <w:rPr>
          <w:rFonts w:ascii="Calibri" w:hAnsi="Calibri"/>
        </w:rPr>
        <w:t>Retain official names and spellings used consistently in the benchmark set.</w:t>
      </w:r>
    </w:p>
    <w:p>
      <w:pPr>
        <w:pStyle w:val="ListBullet"/>
        <w:spacing w:after="60" w:line="259" w:lineRule="auto"/>
      </w:pPr>
      <w:r>
        <w:rPr>
          <w:rFonts w:ascii="Calibri" w:hAnsi="Calibri"/>
        </w:rPr>
        <w:t>Use one spelling consistently within a report: Dbeibah, Menfi, Takala, Tetteh, Koury, Haftar, etc.</w:t>
      </w:r>
    </w:p>
    <w:p>
      <w:pPr>
        <w:pStyle w:val="ListBullet"/>
        <w:spacing w:after="60" w:line="259" w:lineRule="auto"/>
      </w:pPr>
      <w:r>
        <w:rPr>
          <w:rFonts w:ascii="Calibri" w:hAnsi="Calibri"/>
        </w:rPr>
        <w:t>Correct obvious source typos without altering the underlying fact.</w:t>
      </w:r>
    </w:p>
    <w:p>
      <w:pPr>
        <w:pStyle w:val="ListBullet"/>
        <w:spacing w:after="60" w:line="259" w:lineRule="auto"/>
      </w:pPr>
      <w:r>
        <w:rPr>
          <w:rFonts w:ascii="Calibri" w:hAnsi="Calibri"/>
        </w:rPr>
        <w:t>When a title or institutional affiliation is uncertain, verify it before using a bracketed role.</w:t>
      </w:r>
    </w:p>
    <w:p>
      <w:pPr>
        <w:pStyle w:val="Heading1"/>
        <w:keepNext/>
        <w:pBdr>
          <w:bottom w:val="single" w:sz="8" w:space="4" w:color="D9E2E8"/>
        </w:pBdr>
      </w:pPr>
      <w:r>
        <w:rPr>
          <w:rFonts w:ascii="Calibri" w:hAnsi="Calibri"/>
        </w:rPr>
        <w:t>9. Role labels and institutional naming</w:t>
      </w:r>
    </w:p>
    <w:p>
      <w:r>
        <w:rPr>
          <w:rFonts w:ascii="Calibri" w:hAnsi="Calibri"/>
        </w:rPr>
        <w:t>Square brackets identify the verified role of a named person. They are not category tags and must not be used to replace a real subject.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3"/>
          </w:tcPr>
          <w:p>
            <w:r>
              <w:rPr>
                <w:b/>
              </w:rPr>
              <w:t>Preferred label</w:t>
            </w:r>
          </w:p>
        </w:tc>
        <w:tc>
          <w:tcPr>
            <w:tcW w:type="dxa" w:w="3331"/>
            <w:shd w:fill="D9EAF3"/>
          </w:tcPr>
          <w:p>
            <w:r>
              <w:rPr>
                <w:b/>
              </w:rPr>
              <w:t>Meaning/use</w:t>
            </w:r>
          </w:p>
        </w:tc>
        <w:tc>
          <w:tcPr>
            <w:tcW w:type="dxa" w:w="3331"/>
            <w:shd w:fill="D9EAF3"/>
          </w:tcPr>
          <w:p>
            <w:r>
              <w:rPr>
                <w:b/>
              </w:rPr>
              <w:t>Notes</w:t>
            </w:r>
          </w:p>
        </w:tc>
      </w:tr>
      <w:tr>
        <w:trPr>
          <w:cantSplit/>
        </w:trPr>
        <w:tc>
          <w:tcPr>
            <w:tcW w:type="dxa" w:w="3331"/>
            <w:tcMar>
              <w:top w:w="70" w:type="dxa"/>
              <w:start w:w="90" w:type="dxa"/>
              <w:bottom w:w="70" w:type="dxa"/>
              <w:end w:w="90" w:type="dxa"/>
            </w:tcMar>
          </w:tcPr>
          <w:p>
            <w:r>
              <w:t>[SRSG]</w:t>
            </w:r>
          </w:p>
        </w:tc>
        <w:tc>
          <w:tcPr>
            <w:tcW w:type="dxa" w:w="3331"/>
            <w:tcMar>
              <w:top w:w="70" w:type="dxa"/>
              <w:start w:w="90" w:type="dxa"/>
              <w:bottom w:w="70" w:type="dxa"/>
              <w:end w:w="90" w:type="dxa"/>
            </w:tcMar>
          </w:tcPr>
          <w:p>
            <w:r>
              <w:t>Special Representative of the Secretary-General</w:t>
            </w:r>
          </w:p>
        </w:tc>
        <w:tc>
          <w:tcPr>
            <w:tcW w:type="dxa" w:w="3331"/>
            <w:tcMar>
              <w:top w:w="70" w:type="dxa"/>
              <w:start w:w="90" w:type="dxa"/>
              <w:bottom w:w="70" w:type="dxa"/>
              <w:end w:w="90" w:type="dxa"/>
            </w:tcMar>
          </w:tcPr>
          <w:p>
            <w:r>
              <w:t>Use for Hanna Tetteh when relevant.</w:t>
            </w:r>
          </w:p>
        </w:tc>
      </w:tr>
      <w:tr>
        <w:trPr>
          <w:cantSplit/>
        </w:trPr>
        <w:tc>
          <w:tcPr>
            <w:tcW w:type="dxa" w:w="3331"/>
            <w:tcMar>
              <w:top w:w="70" w:type="dxa"/>
              <w:start w:w="90" w:type="dxa"/>
              <w:bottom w:w="70" w:type="dxa"/>
              <w:end w:w="90" w:type="dxa"/>
            </w:tcMar>
          </w:tcPr>
          <w:p>
            <w:r>
              <w:t>[DSRSG] / [DSRSG-P]</w:t>
            </w:r>
          </w:p>
        </w:tc>
        <w:tc>
          <w:tcPr>
            <w:tcW w:type="dxa" w:w="3331"/>
            <w:tcMar>
              <w:top w:w="70" w:type="dxa"/>
              <w:start w:w="90" w:type="dxa"/>
              <w:bottom w:w="70" w:type="dxa"/>
              <w:end w:w="90" w:type="dxa"/>
            </w:tcMar>
          </w:tcPr>
          <w:p>
            <w:r>
              <w:t>Deputy Special Representative / Political deputy</w:t>
            </w:r>
          </w:p>
        </w:tc>
        <w:tc>
          <w:tcPr>
            <w:tcW w:type="dxa" w:w="3331"/>
            <w:tcMar>
              <w:top w:w="70" w:type="dxa"/>
              <w:start w:w="90" w:type="dxa"/>
              <w:bottom w:w="70" w:type="dxa"/>
              <w:end w:w="90" w:type="dxa"/>
            </w:tcMar>
          </w:tcPr>
          <w:p>
            <w:r>
              <w:t>Use the exact role supported by the source.</w:t>
            </w:r>
          </w:p>
        </w:tc>
      </w:tr>
      <w:tr>
        <w:trPr>
          <w:cantSplit/>
        </w:trPr>
        <w:tc>
          <w:tcPr>
            <w:tcW w:type="dxa" w:w="3331"/>
            <w:tcMar>
              <w:top w:w="70" w:type="dxa"/>
              <w:start w:w="90" w:type="dxa"/>
              <w:bottom w:w="70" w:type="dxa"/>
              <w:end w:w="90" w:type="dxa"/>
            </w:tcMar>
          </w:tcPr>
          <w:p>
            <w:r>
              <w:t>[PC President] / [PC Member]</w:t>
            </w:r>
          </w:p>
        </w:tc>
        <w:tc>
          <w:tcPr>
            <w:tcW w:type="dxa" w:w="3331"/>
            <w:tcMar>
              <w:top w:w="70" w:type="dxa"/>
              <w:start w:w="90" w:type="dxa"/>
              <w:bottom w:w="70" w:type="dxa"/>
              <w:end w:w="90" w:type="dxa"/>
            </w:tcMar>
          </w:tcPr>
          <w:p>
            <w:r>
              <w:t>Presidential Council</w:t>
            </w:r>
          </w:p>
        </w:tc>
        <w:tc>
          <w:tcPr>
            <w:tcW w:type="dxa" w:w="3331"/>
            <w:tcMar>
              <w:top w:w="70" w:type="dxa"/>
              <w:start w:w="90" w:type="dxa"/>
              <w:bottom w:w="70" w:type="dxa"/>
              <w:end w:w="90" w:type="dxa"/>
            </w:tcMar>
          </w:tcPr>
          <w:p>
            <w:r>
              <w:t>Do not use a generic “[Presidential Council]” before a person’s name.</w:t>
            </w:r>
          </w:p>
        </w:tc>
      </w:tr>
      <w:tr>
        <w:trPr>
          <w:cantSplit/>
        </w:trPr>
        <w:tc>
          <w:tcPr>
            <w:tcW w:type="dxa" w:w="3331"/>
            <w:tcMar>
              <w:top w:w="70" w:type="dxa"/>
              <w:start w:w="90" w:type="dxa"/>
              <w:bottom w:w="70" w:type="dxa"/>
              <w:end w:w="90" w:type="dxa"/>
            </w:tcMar>
          </w:tcPr>
          <w:p>
            <w:r>
              <w:t>[HoR Speaker] / [HoR Member]</w:t>
            </w:r>
          </w:p>
        </w:tc>
        <w:tc>
          <w:tcPr>
            <w:tcW w:type="dxa" w:w="3331"/>
            <w:tcMar>
              <w:top w:w="70" w:type="dxa"/>
              <w:start w:w="90" w:type="dxa"/>
              <w:bottom w:w="70" w:type="dxa"/>
              <w:end w:w="90" w:type="dxa"/>
            </w:tcMar>
          </w:tcPr>
          <w:p>
            <w:r>
              <w:t>House of Representatives</w:t>
            </w:r>
          </w:p>
        </w:tc>
        <w:tc>
          <w:tcPr>
            <w:tcW w:type="dxa" w:w="3331"/>
            <w:tcMar>
              <w:top w:w="70" w:type="dxa"/>
              <w:start w:w="90" w:type="dxa"/>
              <w:bottom w:w="70" w:type="dxa"/>
              <w:end w:w="90" w:type="dxa"/>
            </w:tcMar>
          </w:tcPr>
          <w:p>
            <w:r>
              <w:t>Capitalise Member consistently.</w:t>
            </w:r>
          </w:p>
        </w:tc>
      </w:tr>
      <w:tr>
        <w:trPr>
          <w:cantSplit/>
        </w:trPr>
        <w:tc>
          <w:tcPr>
            <w:tcW w:type="dxa" w:w="3331"/>
            <w:tcMar>
              <w:top w:w="70" w:type="dxa"/>
              <w:start w:w="90" w:type="dxa"/>
              <w:bottom w:w="70" w:type="dxa"/>
              <w:end w:w="90" w:type="dxa"/>
            </w:tcMar>
          </w:tcPr>
          <w:p>
            <w:r>
              <w:t>[HCS President] / [HCS Member]</w:t>
            </w:r>
          </w:p>
        </w:tc>
        <w:tc>
          <w:tcPr>
            <w:tcW w:type="dxa" w:w="3331"/>
            <w:tcMar>
              <w:top w:w="70" w:type="dxa"/>
              <w:start w:w="90" w:type="dxa"/>
              <w:bottom w:w="70" w:type="dxa"/>
              <w:end w:w="90" w:type="dxa"/>
            </w:tcMar>
          </w:tcPr>
          <w:p>
            <w:r>
              <w:t>High Council of State</w:t>
            </w:r>
          </w:p>
        </w:tc>
        <w:tc>
          <w:tcPr>
            <w:tcW w:type="dxa" w:w="3331"/>
            <w:tcMar>
              <w:top w:w="70" w:type="dxa"/>
              <w:start w:w="90" w:type="dxa"/>
              <w:bottom w:w="70" w:type="dxa"/>
              <w:end w:w="90" w:type="dxa"/>
            </w:tcMar>
          </w:tcPr>
          <w:p>
            <w:r>
              <w:t>Use HCS rather than generic “High State Council Member” when following benchmark terminology.</w:t>
            </w:r>
          </w:p>
        </w:tc>
      </w:tr>
      <w:tr>
        <w:trPr>
          <w:cantSplit/>
        </w:trPr>
        <w:tc>
          <w:tcPr>
            <w:tcW w:type="dxa" w:w="3331"/>
            <w:tcMar>
              <w:top w:w="70" w:type="dxa"/>
              <w:start w:w="90" w:type="dxa"/>
              <w:bottom w:w="70" w:type="dxa"/>
              <w:end w:w="90" w:type="dxa"/>
            </w:tcMar>
          </w:tcPr>
          <w:p>
            <w:r>
              <w:t>[PM] / [HoR-appointed PM]</w:t>
            </w:r>
          </w:p>
        </w:tc>
        <w:tc>
          <w:tcPr>
            <w:tcW w:type="dxa" w:w="3331"/>
            <w:tcMar>
              <w:top w:w="70" w:type="dxa"/>
              <w:start w:w="90" w:type="dxa"/>
              <w:bottom w:w="70" w:type="dxa"/>
              <w:end w:w="90" w:type="dxa"/>
            </w:tcMar>
          </w:tcPr>
          <w:p>
            <w:r>
              <w:t>Prime ministerial roles</w:t>
            </w:r>
          </w:p>
        </w:tc>
        <w:tc>
          <w:tcPr>
            <w:tcW w:type="dxa" w:w="3331"/>
            <w:tcMar>
              <w:top w:w="70" w:type="dxa"/>
              <w:start w:w="90" w:type="dxa"/>
              <w:bottom w:w="70" w:type="dxa"/>
              <w:end w:w="90" w:type="dxa"/>
            </w:tcMar>
          </w:tcPr>
          <w:p>
            <w:r>
              <w:t>Distinguish GNU prime minister from HoR-appointed government.</w:t>
            </w:r>
          </w:p>
        </w:tc>
      </w:tr>
      <w:tr>
        <w:trPr>
          <w:cantSplit/>
        </w:trPr>
        <w:tc>
          <w:tcPr>
            <w:tcW w:type="dxa" w:w="3331"/>
            <w:tcMar>
              <w:top w:w="70" w:type="dxa"/>
              <w:start w:w="90" w:type="dxa"/>
              <w:bottom w:w="70" w:type="dxa"/>
              <w:end w:w="90" w:type="dxa"/>
            </w:tcMar>
          </w:tcPr>
          <w:p>
            <w:r>
              <w:t>[Acting FM] / [HoR-appointed FM]</w:t>
            </w:r>
          </w:p>
        </w:tc>
        <w:tc>
          <w:tcPr>
            <w:tcW w:type="dxa" w:w="3331"/>
            <w:tcMar>
              <w:top w:w="70" w:type="dxa"/>
              <w:start w:w="90" w:type="dxa"/>
              <w:bottom w:w="70" w:type="dxa"/>
              <w:end w:w="90" w:type="dxa"/>
            </w:tcMar>
          </w:tcPr>
          <w:p>
            <w:r>
              <w:t>Foreign ministry roles</w:t>
            </w:r>
          </w:p>
        </w:tc>
        <w:tc>
          <w:tcPr>
            <w:tcW w:type="dxa" w:w="3331"/>
            <w:tcMar>
              <w:top w:w="70" w:type="dxa"/>
              <w:start w:w="90" w:type="dxa"/>
              <w:bottom w:w="70" w:type="dxa"/>
              <w:end w:w="90" w:type="dxa"/>
            </w:tcMar>
          </w:tcPr>
          <w:p>
            <w:r>
              <w:t>Use only when verified.</w:t>
            </w:r>
          </w:p>
        </w:tc>
      </w:tr>
      <w:tr>
        <w:trPr>
          <w:cantSplit/>
        </w:trPr>
        <w:tc>
          <w:tcPr>
            <w:tcW w:type="dxa" w:w="3331"/>
            <w:tcMar>
              <w:top w:w="70" w:type="dxa"/>
              <w:start w:w="90" w:type="dxa"/>
              <w:bottom w:w="70" w:type="dxa"/>
              <w:end w:w="90" w:type="dxa"/>
            </w:tcMar>
          </w:tcPr>
          <w:p>
            <w:r>
              <w:t>[MoI] / [CoS]</w:t>
            </w:r>
          </w:p>
        </w:tc>
        <w:tc>
          <w:tcPr>
            <w:tcW w:type="dxa" w:w="3331"/>
            <w:tcMar>
              <w:top w:w="70" w:type="dxa"/>
              <w:start w:w="90" w:type="dxa"/>
              <w:bottom w:w="70" w:type="dxa"/>
              <w:end w:w="90" w:type="dxa"/>
            </w:tcMar>
          </w:tcPr>
          <w:p>
            <w:r>
              <w:t>Minister of Interior / Chief of Staff</w:t>
            </w:r>
          </w:p>
        </w:tc>
        <w:tc>
          <w:tcPr>
            <w:tcW w:type="dxa" w:w="3331"/>
            <w:tcMar>
              <w:top w:w="70" w:type="dxa"/>
              <w:start w:w="90" w:type="dxa"/>
              <w:bottom w:w="70" w:type="dxa"/>
              <w:end w:w="90" w:type="dxa"/>
            </w:tcMar>
          </w:tcPr>
          <w:p>
            <w:r>
              <w:t>Clarify east/west affiliation in the headline when necessary.</w:t>
            </w:r>
          </w:p>
        </w:tc>
      </w:tr>
      <w:tr>
        <w:trPr>
          <w:cantSplit/>
        </w:trPr>
        <w:tc>
          <w:tcPr>
            <w:tcW w:type="dxa" w:w="3331"/>
            <w:tcMar>
              <w:top w:w="70" w:type="dxa"/>
              <w:start w:w="90" w:type="dxa"/>
              <w:bottom w:w="70" w:type="dxa"/>
              <w:end w:w="90" w:type="dxa"/>
            </w:tcMar>
          </w:tcPr>
          <w:p>
            <w:r>
              <w:t>[LNA Deputy Commander-in-Chief]</w:t>
            </w:r>
          </w:p>
        </w:tc>
        <w:tc>
          <w:tcPr>
            <w:tcW w:type="dxa" w:w="3331"/>
            <w:tcMar>
              <w:top w:w="70" w:type="dxa"/>
              <w:start w:w="90" w:type="dxa"/>
              <w:bottom w:w="70" w:type="dxa"/>
              <w:end w:w="90" w:type="dxa"/>
            </w:tcMar>
          </w:tcPr>
          <w:p>
            <w:r>
              <w:t>Specific LNA role</w:t>
            </w:r>
          </w:p>
        </w:tc>
        <w:tc>
          <w:tcPr>
            <w:tcW w:type="dxa" w:w="3331"/>
            <w:tcMar>
              <w:top w:w="70" w:type="dxa"/>
              <w:start w:w="90" w:type="dxa"/>
              <w:bottom w:w="70" w:type="dxa"/>
              <w:end w:w="90" w:type="dxa"/>
            </w:tcMar>
          </w:tcPr>
          <w:p>
            <w:r>
              <w:t>Do not substitute vague labels such as “[LNA Figures]”.</w:t>
            </w:r>
          </w:p>
        </w:tc>
      </w:tr>
      <w:tr>
        <w:trPr>
          <w:cantSplit/>
        </w:trPr>
        <w:tc>
          <w:tcPr>
            <w:tcW w:type="dxa" w:w="3331"/>
            <w:tcMar>
              <w:top w:w="70" w:type="dxa"/>
              <w:start w:w="90" w:type="dxa"/>
              <w:bottom w:w="70" w:type="dxa"/>
              <w:end w:w="90" w:type="dxa"/>
            </w:tcMar>
          </w:tcPr>
          <w:p>
            <w:r>
              <w:t>[CBL Governor] / [NOC Chairman]</w:t>
            </w:r>
          </w:p>
        </w:tc>
        <w:tc>
          <w:tcPr>
            <w:tcW w:type="dxa" w:w="3331"/>
            <w:tcMar>
              <w:top w:w="70" w:type="dxa"/>
              <w:start w:w="90" w:type="dxa"/>
              <w:bottom w:w="70" w:type="dxa"/>
              <w:end w:w="90" w:type="dxa"/>
            </w:tcMar>
          </w:tcPr>
          <w:p>
            <w:r>
              <w:t>Economic institutions</w:t>
            </w:r>
          </w:p>
        </w:tc>
        <w:tc>
          <w:tcPr>
            <w:tcW w:type="dxa" w:w="3331"/>
            <w:tcMar>
              <w:top w:w="70" w:type="dxa"/>
              <w:start w:w="90" w:type="dxa"/>
              <w:bottom w:w="70" w:type="dxa"/>
              <w:end w:w="90" w:type="dxa"/>
            </w:tcMar>
          </w:tcPr>
          <w:p>
            <w:r>
              <w:t>Use the role relevant to the statement.</w:t>
            </w:r>
          </w:p>
        </w:tc>
      </w:tr>
      <w:tr>
        <w:trPr>
          <w:cantSplit/>
        </w:trPr>
        <w:tc>
          <w:tcPr>
            <w:tcW w:type="dxa" w:w="3331"/>
            <w:tcMar>
              <w:top w:w="70" w:type="dxa"/>
              <w:start w:w="90" w:type="dxa"/>
              <w:bottom w:w="70" w:type="dxa"/>
              <w:end w:w="90" w:type="dxa"/>
            </w:tcMar>
          </w:tcPr>
          <w:p>
            <w:r>
              <w:t>[Structured Dialogue Member]</w:t>
            </w:r>
          </w:p>
        </w:tc>
        <w:tc>
          <w:tcPr>
            <w:tcW w:type="dxa" w:w="3331"/>
            <w:tcMar>
              <w:top w:w="70" w:type="dxa"/>
              <w:start w:w="90" w:type="dxa"/>
              <w:bottom w:w="70" w:type="dxa"/>
              <w:end w:w="90" w:type="dxa"/>
            </w:tcMar>
          </w:tcPr>
          <w:p>
            <w:r>
              <w:t>Participant in Structured Dialogue</w:t>
            </w:r>
          </w:p>
        </w:tc>
        <w:tc>
          <w:tcPr>
            <w:tcW w:type="dxa" w:w="3331"/>
            <w:tcMar>
              <w:top w:w="70" w:type="dxa"/>
              <w:start w:w="90" w:type="dxa"/>
              <w:bottom w:w="70" w:type="dxa"/>
              <w:end w:w="90" w:type="dxa"/>
            </w:tcMar>
          </w:tcPr>
          <w:p>
            <w:r>
              <w:t>Use only when membership is verified.</w:t>
            </w:r>
          </w:p>
        </w:tc>
      </w:tr>
      <w:tr>
        <w:trPr>
          <w:cantSplit/>
        </w:trPr>
        <w:tc>
          <w:tcPr>
            <w:tcW w:type="dxa" w:w="3331"/>
            <w:tcMar>
              <w:top w:w="70" w:type="dxa"/>
              <w:start w:w="90" w:type="dxa"/>
              <w:bottom w:w="70" w:type="dxa"/>
              <w:end w:w="90" w:type="dxa"/>
            </w:tcMar>
          </w:tcPr>
          <w:p>
            <w:r>
              <w:t>[Mufti]</w:t>
            </w:r>
          </w:p>
        </w:tc>
        <w:tc>
          <w:tcPr>
            <w:tcW w:type="dxa" w:w="3331"/>
            <w:tcMar>
              <w:top w:w="70" w:type="dxa"/>
              <w:start w:w="90" w:type="dxa"/>
              <w:bottom w:w="70" w:type="dxa"/>
              <w:end w:w="90" w:type="dxa"/>
            </w:tcMar>
          </w:tcPr>
          <w:p>
            <w:r>
              <w:t>Grand Mufti / Dar al-Ifta figure</w:t>
            </w:r>
          </w:p>
        </w:tc>
        <w:tc>
          <w:tcPr>
            <w:tcW w:type="dxa" w:w="3331"/>
            <w:tcMar>
              <w:top w:w="70" w:type="dxa"/>
              <w:start w:w="90" w:type="dxa"/>
              <w:bottom w:w="70" w:type="dxa"/>
              <w:end w:w="90" w:type="dxa"/>
            </w:tcMar>
          </w:tcPr>
          <w:p>
            <w:r>
              <w:t>Follow the benchmark’s concise role label where context is clear.</w:t>
            </w:r>
          </w:p>
        </w:tc>
      </w:tr>
    </w:tbl>
    <w:p>
      <w:r>
        <w:rPr>
          <w:rFonts w:ascii="Calibri" w:hAnsi="Calibri"/>
          <w:b/>
        </w:rPr>
        <w:t xml:space="preserve">Prohibited generic labels: </w:t>
      </w:r>
      <w:r>
        <w:rPr>
          <w:rFonts w:ascii="Calibri" w:hAnsi="Calibri"/>
        </w:rPr>
        <w:t>[Political Critics], [Media Analysis], [Court Ruling], [Markets], [Institutional Actors], [UNSMIL], [NOC-UK], [Egypt-US Track], and similar AI-generated category tags. Rewrite the sentence with the actual actor or institution.</w:t>
      </w:r>
    </w:p>
    <w:p>
      <w:pPr>
        <w:pStyle w:val="Heading1"/>
        <w:keepNext/>
        <w:pBdr>
          <w:bottom w:val="single" w:sz="8" w:space="4" w:color="D9E2E8"/>
        </w:pBdr>
      </w:pPr>
      <w:r>
        <w:rPr>
          <w:rFonts w:ascii="Calibri" w:hAnsi="Calibri"/>
        </w:rPr>
        <w:t>10. Section order and classification logic</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9EAF3"/>
          </w:tcPr>
          <w:p>
            <w:r>
              <w:rPr>
                <w:b/>
              </w:rPr>
              <w:t>Section</w:t>
            </w:r>
          </w:p>
        </w:tc>
        <w:tc>
          <w:tcPr>
            <w:tcW w:type="dxa" w:w="4997"/>
            <w:shd w:fill="D9EAF3"/>
          </w:tcPr>
          <w:p>
            <w:r>
              <w:rPr>
                <w:b/>
              </w:rPr>
              <w:t>Primary test</w:t>
            </w:r>
          </w:p>
        </w:tc>
      </w:tr>
      <w:tr>
        <w:trPr>
          <w:cantSplit/>
        </w:trPr>
        <w:tc>
          <w:tcPr>
            <w:tcW w:type="dxa" w:w="4997"/>
            <w:tcMar>
              <w:top w:w="75" w:type="dxa"/>
              <w:start w:w="95" w:type="dxa"/>
              <w:bottom w:w="75" w:type="dxa"/>
              <w:end w:w="95" w:type="dxa"/>
            </w:tcMar>
          </w:tcPr>
          <w:p>
            <w:r>
              <w:t>1. United Nations</w:t>
            </w:r>
          </w:p>
        </w:tc>
        <w:tc>
          <w:tcPr>
            <w:tcW w:type="dxa" w:w="4997"/>
            <w:tcMar>
              <w:top w:w="75" w:type="dxa"/>
              <w:start w:w="95" w:type="dxa"/>
              <w:bottom w:w="75" w:type="dxa"/>
              <w:end w:w="95" w:type="dxa"/>
            </w:tcMar>
          </w:tcPr>
          <w:p>
            <w:r>
              <w:t>UNSMIL, SRSG/DSRSG, Security Council and UN-agency coverage; UN-centred reactions.</w:t>
            </w:r>
          </w:p>
        </w:tc>
      </w:tr>
      <w:tr>
        <w:trPr>
          <w:cantSplit/>
        </w:trPr>
        <w:tc>
          <w:tcPr>
            <w:tcW w:type="dxa" w:w="4997"/>
            <w:tcMar>
              <w:top w:w="75" w:type="dxa"/>
              <w:start w:w="95" w:type="dxa"/>
              <w:bottom w:w="75" w:type="dxa"/>
              <w:end w:w="95" w:type="dxa"/>
            </w:tcMar>
          </w:tcPr>
          <w:p>
            <w:r>
              <w:t>2. Politics</w:t>
            </w:r>
          </w:p>
        </w:tc>
        <w:tc>
          <w:tcPr>
            <w:tcW w:type="dxa" w:w="4997"/>
            <w:tcMar>
              <w:top w:w="75" w:type="dxa"/>
              <w:start w:w="95" w:type="dxa"/>
              <w:bottom w:w="75" w:type="dxa"/>
              <w:end w:w="95" w:type="dxa"/>
            </w:tcMar>
          </w:tcPr>
          <w:p>
            <w:r>
              <w:t>Political process, elections, institutions, government decisions, councils, political initiatives and commentary.</w:t>
            </w:r>
          </w:p>
        </w:tc>
      </w:tr>
      <w:tr>
        <w:trPr>
          <w:cantSplit/>
        </w:trPr>
        <w:tc>
          <w:tcPr>
            <w:tcW w:type="dxa" w:w="4997"/>
            <w:tcMar>
              <w:top w:w="75" w:type="dxa"/>
              <w:start w:w="95" w:type="dxa"/>
              <w:bottom w:w="75" w:type="dxa"/>
              <w:end w:w="95" w:type="dxa"/>
            </w:tcMar>
          </w:tcPr>
          <w:p>
            <w:r>
              <w:t>3. Military &amp; Security</w:t>
            </w:r>
          </w:p>
        </w:tc>
        <w:tc>
          <w:tcPr>
            <w:tcW w:type="dxa" w:w="4997"/>
            <w:tcMar>
              <w:top w:w="75" w:type="dxa"/>
              <w:start w:w="95" w:type="dxa"/>
              <w:bottom w:w="75" w:type="dxa"/>
              <w:end w:w="95" w:type="dxa"/>
            </w:tcMar>
          </w:tcPr>
          <w:p>
            <w:r>
              <w:t>Armed clashes, military coordination, security institutions, border security, policing and major crime operations.</w:t>
            </w:r>
          </w:p>
        </w:tc>
      </w:tr>
      <w:tr>
        <w:trPr>
          <w:cantSplit/>
        </w:trPr>
        <w:tc>
          <w:tcPr>
            <w:tcW w:type="dxa" w:w="4997"/>
            <w:tcMar>
              <w:top w:w="75" w:type="dxa"/>
              <w:start w:w="95" w:type="dxa"/>
              <w:bottom w:w="75" w:type="dxa"/>
              <w:end w:w="95" w:type="dxa"/>
            </w:tcMar>
          </w:tcPr>
          <w:p>
            <w:r>
              <w:t>4. Human Rights &amp; Rule of Law</w:t>
            </w:r>
          </w:p>
        </w:tc>
        <w:tc>
          <w:tcPr>
            <w:tcW w:type="dxa" w:w="4997"/>
            <w:tcMar>
              <w:top w:w="75" w:type="dxa"/>
              <w:start w:w="95" w:type="dxa"/>
              <w:bottom w:w="75" w:type="dxa"/>
              <w:end w:w="95" w:type="dxa"/>
            </w:tcMar>
          </w:tcPr>
          <w:p>
            <w:r>
              <w:t>Migration protection, detention, justice, courts, prosecution, rights, health and social protection.</w:t>
            </w:r>
          </w:p>
        </w:tc>
      </w:tr>
      <w:tr>
        <w:trPr>
          <w:cantSplit/>
        </w:trPr>
        <w:tc>
          <w:tcPr>
            <w:tcW w:type="dxa" w:w="4997"/>
            <w:tcMar>
              <w:top w:w="75" w:type="dxa"/>
              <w:start w:w="95" w:type="dxa"/>
              <w:bottom w:w="75" w:type="dxa"/>
              <w:end w:w="95" w:type="dxa"/>
            </w:tcMar>
          </w:tcPr>
          <w:p>
            <w:r>
              <w:t>5. Economy</w:t>
            </w:r>
          </w:p>
        </w:tc>
        <w:tc>
          <w:tcPr>
            <w:tcW w:type="dxa" w:w="4997"/>
            <w:tcMar>
              <w:top w:w="75" w:type="dxa"/>
              <w:start w:w="95" w:type="dxa"/>
              <w:bottom w:w="75" w:type="dxa"/>
              <w:end w:w="95" w:type="dxa"/>
            </w:tcMar>
          </w:tcPr>
          <w:p>
            <w:r>
              <w:t>Banking, energy, infrastructure, transport, telecommunications, trade, investment and development.</w:t>
            </w:r>
          </w:p>
        </w:tc>
      </w:tr>
      <w:tr>
        <w:trPr>
          <w:cantSplit/>
        </w:trPr>
        <w:tc>
          <w:tcPr>
            <w:tcW w:type="dxa" w:w="4997"/>
            <w:tcMar>
              <w:top w:w="75" w:type="dxa"/>
              <w:start w:w="95" w:type="dxa"/>
              <w:bottom w:w="75" w:type="dxa"/>
              <w:end w:w="95" w:type="dxa"/>
            </w:tcMar>
          </w:tcPr>
          <w:p>
            <w:r>
              <w:t>6. Environment</w:t>
            </w:r>
          </w:p>
        </w:tc>
        <w:tc>
          <w:tcPr>
            <w:tcW w:type="dxa" w:w="4997"/>
            <w:tcMar>
              <w:top w:w="75" w:type="dxa"/>
              <w:start w:w="95" w:type="dxa"/>
              <w:bottom w:w="75" w:type="dxa"/>
              <w:end w:w="95" w:type="dxa"/>
            </w:tcMar>
          </w:tcPr>
          <w:p>
            <w:r>
              <w:t>Weather, floods, water resources, climate, agriculture-related environmental risks and pollution.</w:t>
            </w:r>
          </w:p>
        </w:tc>
      </w:tr>
      <w:tr>
        <w:trPr>
          <w:cantSplit/>
        </w:trPr>
        <w:tc>
          <w:tcPr>
            <w:tcW w:type="dxa" w:w="4997"/>
            <w:tcMar>
              <w:top w:w="75" w:type="dxa"/>
              <w:start w:w="95" w:type="dxa"/>
              <w:bottom w:w="75" w:type="dxa"/>
              <w:end w:w="95" w:type="dxa"/>
            </w:tcMar>
          </w:tcPr>
          <w:p>
            <w:r>
              <w:t>7. Regional &amp; International</w:t>
            </w:r>
          </w:p>
        </w:tc>
        <w:tc>
          <w:tcPr>
            <w:tcW w:type="dxa" w:w="4997"/>
            <w:tcMar>
              <w:top w:w="75" w:type="dxa"/>
              <w:start w:w="95" w:type="dxa"/>
              <w:bottom w:w="75" w:type="dxa"/>
              <w:end w:w="95" w:type="dxa"/>
            </w:tcMar>
          </w:tcPr>
          <w:p>
            <w:r>
              <w:t>Bilateral and multilateral foreign relations, external diplomacy and international developments directly involving Libya.</w:t>
            </w:r>
          </w:p>
        </w:tc>
      </w:tr>
      <w:tr>
        <w:trPr>
          <w:cantSplit/>
        </w:trPr>
        <w:tc>
          <w:tcPr>
            <w:tcW w:type="dxa" w:w="4997"/>
            <w:tcMar>
              <w:top w:w="75" w:type="dxa"/>
              <w:start w:w="95" w:type="dxa"/>
              <w:bottom w:w="75" w:type="dxa"/>
              <w:end w:w="95" w:type="dxa"/>
            </w:tcMar>
          </w:tcPr>
          <w:p>
            <w:r>
              <w:t>8. Varieties</w:t>
            </w:r>
          </w:p>
        </w:tc>
        <w:tc>
          <w:tcPr>
            <w:tcW w:type="dxa" w:w="4997"/>
            <w:tcMar>
              <w:top w:w="75" w:type="dxa"/>
              <w:start w:w="95" w:type="dxa"/>
              <w:bottom w:w="75" w:type="dxa"/>
              <w:end w:w="95" w:type="dxa"/>
            </w:tcMar>
          </w:tcPr>
          <w:p>
            <w:r>
              <w:t>Analysis, opinion, features, think tanks, podcasts, reports, culture, heritage and selected nationally relevant sports items.</w:t>
            </w:r>
          </w:p>
        </w:tc>
      </w:tr>
    </w:tbl>
    <w:p>
      <w:pPr>
        <w:pStyle w:val="Heading2"/>
        <w:keepNext/>
      </w:pPr>
      <w:r>
        <w:rPr>
          <w:rFonts w:ascii="Calibri" w:hAnsi="Calibri"/>
        </w:rPr>
        <w:t>10.1 Dynamic event-based subsections</w:t>
      </w:r>
    </w:p>
    <w:p>
      <w:r>
        <w:rPr>
          <w:rFonts w:ascii="Calibri" w:hAnsi="Calibri"/>
        </w:rPr>
        <w:t>Subsections are created around the dominant events of the reporting window. They are not a fixed menu. Examples from the benchmark include:</w:t>
      </w:r>
    </w:p>
    <w:p>
      <w:pPr>
        <w:pStyle w:val="ListBullet"/>
        <w:spacing w:after="60" w:line="259" w:lineRule="auto"/>
      </w:pPr>
      <w:r>
        <w:rPr>
          <w:rFonts w:ascii="Calibri" w:hAnsi="Calibri"/>
        </w:rPr>
        <w:t>Structured Dialogue</w:t>
      </w:r>
    </w:p>
    <w:p>
      <w:pPr>
        <w:pStyle w:val="ListBullet"/>
        <w:spacing w:after="60" w:line="259" w:lineRule="auto"/>
      </w:pPr>
      <w:r>
        <w:rPr>
          <w:rFonts w:ascii="Calibri" w:hAnsi="Calibri"/>
        </w:rPr>
        <w:t>UN Security Council Briefing</w:t>
      </w:r>
    </w:p>
    <w:p>
      <w:pPr>
        <w:pStyle w:val="ListBullet"/>
        <w:spacing w:after="60" w:line="259" w:lineRule="auto"/>
      </w:pPr>
      <w:r>
        <w:rPr>
          <w:rFonts w:ascii="Calibri" w:hAnsi="Calibri"/>
        </w:rPr>
        <w:t>Increase in anti-migrant sentiment</w:t>
      </w:r>
    </w:p>
    <w:p>
      <w:pPr>
        <w:pStyle w:val="ListBullet"/>
        <w:spacing w:after="60" w:line="259" w:lineRule="auto"/>
      </w:pPr>
      <w:r>
        <w:rPr>
          <w:rFonts w:ascii="Calibri" w:hAnsi="Calibri"/>
        </w:rPr>
        <w:t>Three presidencies agreement</w:t>
      </w:r>
    </w:p>
    <w:p>
      <w:pPr>
        <w:pStyle w:val="ListBullet"/>
        <w:spacing w:after="60" w:line="259" w:lineRule="auto"/>
      </w:pPr>
      <w:r>
        <w:rPr>
          <w:rFonts w:ascii="Calibri" w:hAnsi="Calibri"/>
        </w:rPr>
        <w:t>US initiative</w:t>
      </w:r>
    </w:p>
    <w:p>
      <w:pPr>
        <w:pStyle w:val="ListBullet"/>
        <w:spacing w:after="60" w:line="259" w:lineRule="auto"/>
      </w:pPr>
      <w:r>
        <w:rPr>
          <w:rFonts w:ascii="Calibri" w:hAnsi="Calibri"/>
        </w:rPr>
        <w:t>Controversy over the Central Region</w:t>
      </w:r>
    </w:p>
    <w:p>
      <w:pPr>
        <w:pStyle w:val="ListBullet"/>
        <w:spacing w:after="60" w:line="259" w:lineRule="auto"/>
      </w:pPr>
      <w:r>
        <w:rPr>
          <w:rFonts w:ascii="Calibri" w:hAnsi="Calibri"/>
        </w:rPr>
        <w:t>Clashes in Zawiya</w:t>
      </w:r>
    </w:p>
    <w:p>
      <w:pPr>
        <w:pStyle w:val="ListBullet"/>
        <w:spacing w:after="60" w:line="259" w:lineRule="auto"/>
      </w:pPr>
      <w:r>
        <w:rPr>
          <w:rFonts w:ascii="Calibri" w:hAnsi="Calibri"/>
        </w:rPr>
        <w:t>Fuel crisis</w:t>
      </w:r>
    </w:p>
    <w:p>
      <w:pPr>
        <w:pStyle w:val="ListBullet"/>
        <w:spacing w:after="60" w:line="259" w:lineRule="auto"/>
      </w:pPr>
      <w:r>
        <w:rPr>
          <w:rFonts w:ascii="Calibri" w:hAnsi="Calibri"/>
        </w:rPr>
        <w:t>Floods in southwestern regions</w:t>
      </w:r>
    </w:p>
    <w:p>
      <w:pPr>
        <w:pStyle w:val="ListBullet"/>
        <w:spacing w:after="60" w:line="259" w:lineRule="auto"/>
      </w:pPr>
      <w:r>
        <w:rPr>
          <w:rFonts w:ascii="Calibri" w:hAnsi="Calibri"/>
        </w:rPr>
        <w:t>Asian-African Parliamentary Council in Benghazi</w:t>
      </w:r>
    </w:p>
    <w:p>
      <w:pPr>
        <w:pStyle w:val="ListBullet"/>
        <w:spacing w:after="60" w:line="259" w:lineRule="auto"/>
      </w:pPr>
      <w:r>
        <w:rPr>
          <w:rFonts w:ascii="Calibri" w:hAnsi="Calibri"/>
        </w:rPr>
        <w:t>Libya-Greece talks</w:t>
      </w:r>
    </w:p>
    <w:p>
      <w:pPr>
        <w:pStyle w:val="ListBullet"/>
        <w:spacing w:after="60" w:line="259" w:lineRule="auto"/>
      </w:pPr>
      <w:r>
        <w:rPr>
          <w:rFonts w:ascii="Calibri" w:hAnsi="Calibri"/>
        </w:rPr>
        <w:t>Other political news / Other security news / Other economic news</w:t>
      </w:r>
    </w:p>
    <w:p>
      <w:pPr>
        <w:pStyle w:val="Heading2"/>
        <w:keepNext/>
      </w:pPr>
      <w:r>
        <w:rPr>
          <w:rFonts w:ascii="Calibri" w:hAnsi="Calibri"/>
        </w:rPr>
        <w:t>10.2 Primary-subject test</w:t>
      </w:r>
    </w:p>
    <w:p>
      <w:pPr>
        <w:pStyle w:val="ListBullet"/>
        <w:spacing w:after="60" w:line="259" w:lineRule="auto"/>
      </w:pPr>
      <w:r>
        <w:rPr>
          <w:rFonts w:ascii="Calibri" w:hAnsi="Calibri"/>
        </w:rPr>
        <w:t>A meeting with a foreign ambassador belongs under Regional &amp; International only when bilateral relations are the principal news value; if the main subject is a Libyan political process, it may belong under Politics or United Nations.</w:t>
      </w:r>
    </w:p>
    <w:p>
      <w:pPr>
        <w:pStyle w:val="ListBullet"/>
        <w:spacing w:after="60" w:line="259" w:lineRule="auto"/>
      </w:pPr>
      <w:r>
        <w:rPr>
          <w:rFonts w:ascii="Calibri" w:hAnsi="Calibri"/>
        </w:rPr>
        <w:t>A migration enforcement operation normally belongs under Military &amp; Security; migrant deaths, protection, deportation impacts or detention conditions normally belong under Human Rights &amp; Rule of Law.</w:t>
      </w:r>
    </w:p>
    <w:p>
      <w:pPr>
        <w:pStyle w:val="ListBullet"/>
        <w:spacing w:after="60" w:line="259" w:lineRule="auto"/>
      </w:pPr>
      <w:r>
        <w:rPr>
          <w:rFonts w:ascii="Calibri" w:hAnsi="Calibri"/>
        </w:rPr>
        <w:t>A power-grid repair belongs under Economy/Reconstruction or Energy; a flood-related power outage may belong under Environment when the disaster response is the primary subject.</w:t>
      </w:r>
    </w:p>
    <w:p>
      <w:pPr>
        <w:pStyle w:val="ListBullet"/>
        <w:spacing w:after="60" w:line="259" w:lineRule="auto"/>
      </w:pPr>
      <w:r>
        <w:rPr>
          <w:rFonts w:ascii="Calibri" w:hAnsi="Calibri"/>
        </w:rPr>
        <w:t>A cultural-property recovery by security authorities may belong under Military &amp; Security if the arrest/recovery operation is the key fact, or Varieties/Culture if the heritage significance is the focus.</w:t>
      </w:r>
    </w:p>
    <w:p>
      <w:pPr>
        <w:pStyle w:val="ListBullet"/>
        <w:spacing w:after="60" w:line="259" w:lineRule="auto"/>
      </w:pPr>
      <w:r>
        <w:rPr>
          <w:rFonts w:ascii="Calibri" w:hAnsi="Calibri"/>
        </w:rPr>
        <w:t>A judicial decision involving financial corruption belongs under Human Rights &amp; Rule of Law, not Banking, unless the story’s primary value is regulatory/financial rather than criminal accountability.</w:t>
      </w:r>
    </w:p>
    <w:p>
      <w:pPr>
        <w:pStyle w:val="Heading1"/>
        <w:keepNext/>
        <w:pBdr>
          <w:bottom w:val="single" w:sz="8" w:space="4" w:color="D9E2E8"/>
        </w:pBdr>
      </w:pPr>
      <w:r>
        <w:rPr>
          <w:rFonts w:ascii="Calibri" w:hAnsi="Calibri"/>
        </w:rPr>
        <w:t>11. Source presentation and hyperlinks</w:t>
      </w:r>
    </w:p>
    <w:p>
      <w:pPr>
        <w:pStyle w:val="Heading2"/>
        <w:keepNext/>
      </w:pPr>
      <w:r>
        <w:rPr>
          <w:rFonts w:ascii="Calibri" w:hAnsi="Calibri"/>
        </w:rPr>
        <w:t>11.1 Required line format</w:t>
      </w:r>
    </w:p>
    <w:p>
      <w:pPr>
        <w:pStyle w:val="Example"/>
      </w:pPr>
      <w:r>
        <w:rPr>
          <w:rFonts w:ascii="Calibri" w:hAnsi="Calibri"/>
        </w:rPr>
        <w:t>Headline – Source (Arabic) / Source / Source (Arabic)</w:t>
      </w:r>
    </w:p>
    <w:p>
      <w:pPr>
        <w:pStyle w:val="ListBullet"/>
        <w:spacing w:after="60" w:line="259" w:lineRule="auto"/>
      </w:pPr>
      <w:r>
        <w:rPr>
          <w:rFonts w:ascii="Calibri" w:hAnsi="Calibri"/>
        </w:rPr>
        <w:t>Use an en dash between the headline and the source block.</w:t>
      </w:r>
    </w:p>
    <w:p>
      <w:pPr>
        <w:pStyle w:val="ListBullet"/>
        <w:spacing w:after="60" w:line="259" w:lineRule="auto"/>
      </w:pPr>
      <w:r>
        <w:rPr>
          <w:rFonts w:ascii="Calibri" w:hAnsi="Calibri"/>
        </w:rPr>
        <w:t>Use “ / ” between multiple sources.</w:t>
      </w:r>
    </w:p>
    <w:p>
      <w:pPr>
        <w:pStyle w:val="ListBullet"/>
        <w:spacing w:after="60" w:line="259" w:lineRule="auto"/>
      </w:pPr>
      <w:r>
        <w:rPr>
          <w:rFonts w:ascii="Calibri" w:hAnsi="Calibri"/>
        </w:rPr>
        <w:t>English-language sources do not receive “(English)”.</w:t>
      </w:r>
    </w:p>
    <w:p>
      <w:pPr>
        <w:pStyle w:val="ListBullet"/>
        <w:spacing w:after="60" w:line="259" w:lineRule="auto"/>
      </w:pPr>
      <w:r>
        <w:rPr>
          <w:rFonts w:ascii="Calibri" w:hAnsi="Calibri"/>
        </w:rPr>
        <w:t>Arabic-language sources receive “(Arabic)” in black text.</w:t>
      </w:r>
    </w:p>
    <w:p>
      <w:pPr>
        <w:pStyle w:val="ListBullet"/>
        <w:spacing w:after="60" w:line="259" w:lineRule="auto"/>
      </w:pPr>
      <w:r>
        <w:rPr>
          <w:rFonts w:ascii="Calibri" w:hAnsi="Calibri"/>
        </w:rPr>
        <w:t>Only the source name is hyperlinked; the separator and language marker remain normal black text.</w:t>
      </w:r>
    </w:p>
    <w:p>
      <w:pPr>
        <w:pStyle w:val="ListBullet"/>
        <w:spacing w:after="60" w:line="259" w:lineRule="auto"/>
      </w:pPr>
      <w:r>
        <w:rPr>
          <w:rFonts w:ascii="Calibri" w:hAnsi="Calibri"/>
        </w:rPr>
        <w:t>Every source name in a multi-source line has its own hyperlink.</w:t>
      </w:r>
    </w:p>
    <w:p>
      <w:pPr>
        <w:pStyle w:val="ListBullet"/>
        <w:spacing w:after="60" w:line="259" w:lineRule="auto"/>
      </w:pPr>
      <w:r>
        <w:rPr>
          <w:rFonts w:ascii="Calibri" w:hAnsi="Calibri"/>
        </w:rPr>
        <w:t>Use the outlet name consistently: Al Wasat, Libya Observer, Libya Review, LANA, etc.</w:t>
      </w:r>
    </w:p>
    <w:p>
      <w:pPr>
        <w:pStyle w:val="Heading2"/>
        <w:keepNext/>
      </w:pPr>
      <w:r>
        <w:rPr>
          <w:rFonts w:ascii="Calibri" w:hAnsi="Calibri"/>
        </w:rPr>
        <w:t>11.2 Hyperlink specification</w:t>
      </w:r>
    </w:p>
    <w:p>
      <w:pPr>
        <w:pStyle w:val="ListBullet"/>
        <w:spacing w:after="60" w:line="259" w:lineRule="auto"/>
      </w:pPr>
      <w:r>
        <w:rPr>
          <w:rFonts w:ascii="Calibri" w:hAnsi="Calibri"/>
        </w:rPr>
        <w:t>Word-native hyperlink, not plain coloured text.</w:t>
      </w:r>
    </w:p>
    <w:p>
      <w:pPr>
        <w:pStyle w:val="ListBullet"/>
        <w:spacing w:after="60" w:line="259" w:lineRule="auto"/>
      </w:pPr>
      <w:r>
        <w:rPr>
          <w:rFonts w:ascii="Calibri" w:hAnsi="Calibri"/>
        </w:rPr>
        <w:t>Colour: #467886 (RGB 70, 120, 134).</w:t>
      </w:r>
    </w:p>
    <w:p>
      <w:pPr>
        <w:pStyle w:val="ListBullet"/>
        <w:spacing w:after="60" w:line="259" w:lineRule="auto"/>
      </w:pPr>
      <w:r>
        <w:rPr>
          <w:rFonts w:ascii="Calibri" w:hAnsi="Calibri"/>
        </w:rPr>
        <w:t>Single underline.</w:t>
      </w:r>
    </w:p>
    <w:p>
      <w:pPr>
        <w:pStyle w:val="ListBullet"/>
        <w:spacing w:after="60" w:line="259" w:lineRule="auto"/>
      </w:pPr>
      <w:r>
        <w:rPr>
          <w:rFonts w:ascii="Calibri" w:hAnsi="Calibri"/>
        </w:rPr>
        <w:t>Same font and size as the surrounding body text.</w:t>
      </w:r>
    </w:p>
    <w:p>
      <w:pPr>
        <w:pStyle w:val="ListBullet"/>
        <w:spacing w:after="60" w:line="259" w:lineRule="auto"/>
      </w:pPr>
      <w:r>
        <w:rPr>
          <w:rFonts w:ascii="Calibri" w:hAnsi="Calibri"/>
        </w:rPr>
        <w:t>Direct article URL with tracking parameters removed where practical.</w:t>
      </w:r>
    </w:p>
    <w:p>
      <w:pPr>
        <w:pStyle w:val="ListBullet"/>
        <w:spacing w:after="60" w:line="259" w:lineRule="auto"/>
      </w:pPr>
      <w:r>
        <w:rPr>
          <w:rFonts w:ascii="Calibri" w:hAnsi="Calibri"/>
        </w:rPr>
        <w:t>No Google News redirects, raw long URLs or links attached to the wrong source label.</w:t>
      </w:r>
    </w:p>
    <w:p>
      <w:pPr>
        <w:pStyle w:val="Heading2"/>
        <w:keepNext/>
      </w:pPr>
      <w:r>
        <w:rPr>
          <w:rFonts w:ascii="Calibri" w:hAnsi="Calibri"/>
        </w:rPr>
        <w:t>11.3 Link-to-headline verification</w:t>
      </w:r>
    </w:p>
    <w:p>
      <w:pPr>
        <w:pStyle w:val="ListBullet"/>
        <w:spacing w:after="60" w:line="259" w:lineRule="auto"/>
      </w:pPr>
      <w:r>
        <w:rPr>
          <w:rFonts w:ascii="Calibri" w:hAnsi="Calibri"/>
        </w:rPr>
        <w:t>Open every URL and confirm that the article supports the English headline.</w:t>
      </w:r>
    </w:p>
    <w:p>
      <w:pPr>
        <w:pStyle w:val="ListBullet"/>
        <w:spacing w:after="60" w:line="259" w:lineRule="auto"/>
      </w:pPr>
      <w:r>
        <w:rPr>
          <w:rFonts w:ascii="Calibri" w:hAnsi="Calibri"/>
        </w:rPr>
        <w:t>Confirm the linked page belongs to the source name shown in Word.</w:t>
      </w:r>
    </w:p>
    <w:p>
      <w:pPr>
        <w:pStyle w:val="ListBullet"/>
        <w:spacing w:after="60" w:line="259" w:lineRule="auto"/>
      </w:pPr>
      <w:r>
        <w:rPr>
          <w:rFonts w:ascii="Calibri" w:hAnsi="Calibri"/>
        </w:rPr>
        <w:t>Confirm that multiple links grouped under one headline genuinely report the same fact.</w:t>
      </w:r>
    </w:p>
    <w:p>
      <w:pPr>
        <w:pStyle w:val="ListBullet"/>
        <w:spacing w:after="60" w:line="259" w:lineRule="auto"/>
      </w:pPr>
      <w:r>
        <w:rPr>
          <w:rFonts w:ascii="Calibri" w:hAnsi="Calibri"/>
        </w:rPr>
        <w:t>If the article cannot be opened, do not assume the scraped headline is accurate; mark it pending or exclude with a documented reason.</w:t>
      </w:r>
    </w:p>
    <w:p>
      <w:pPr>
        <w:pStyle w:val="Heading1"/>
        <w:keepNext/>
        <w:pBdr>
          <w:bottom w:val="single" w:sz="8" w:space="4" w:color="D9E2E8"/>
        </w:pBdr>
      </w:pPr>
      <w:r>
        <w:rPr>
          <w:rFonts w:ascii="Calibri" w:hAnsi="Calibri"/>
        </w:rPr>
        <w:t>12. Exact current Word-formatting standard</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9EAF3"/>
          </w:tcPr>
          <w:p>
            <w:r>
              <w:rPr>
                <w:b/>
              </w:rPr>
              <w:t>Element</w:t>
            </w:r>
          </w:p>
        </w:tc>
        <w:tc>
          <w:tcPr>
            <w:tcW w:type="dxa" w:w="4997"/>
            <w:shd w:fill="D9EAF3"/>
          </w:tcPr>
          <w:p>
            <w:r>
              <w:rPr>
                <w:b/>
              </w:rPr>
              <w:t>Current standard</w:t>
            </w:r>
          </w:p>
        </w:tc>
      </w:tr>
      <w:tr>
        <w:trPr>
          <w:cantSplit/>
        </w:trPr>
        <w:tc>
          <w:tcPr>
            <w:tcW w:type="dxa" w:w="4997"/>
            <w:tcMar>
              <w:top w:w="75" w:type="dxa"/>
              <w:start w:w="100" w:type="dxa"/>
              <w:bottom w:w="75" w:type="dxa"/>
              <w:end w:w="100" w:type="dxa"/>
            </w:tcMar>
          </w:tcPr>
          <w:p>
            <w:r>
              <w:t>Page size</w:t>
            </w:r>
          </w:p>
        </w:tc>
        <w:tc>
          <w:tcPr>
            <w:tcW w:type="dxa" w:w="4997"/>
            <w:tcMar>
              <w:top w:w="75" w:type="dxa"/>
              <w:start w:w="100" w:type="dxa"/>
              <w:bottom w:w="75" w:type="dxa"/>
              <w:end w:w="100" w:type="dxa"/>
            </w:tcMar>
          </w:tcPr>
          <w:p>
            <w:r>
              <w:t>Letter: 8.5 × 11 inches</w:t>
            </w:r>
          </w:p>
        </w:tc>
      </w:tr>
      <w:tr>
        <w:trPr>
          <w:cantSplit/>
        </w:trPr>
        <w:tc>
          <w:tcPr>
            <w:tcW w:type="dxa" w:w="4997"/>
            <w:tcMar>
              <w:top w:w="75" w:type="dxa"/>
              <w:start w:w="100" w:type="dxa"/>
              <w:bottom w:w="75" w:type="dxa"/>
              <w:end w:w="100" w:type="dxa"/>
            </w:tcMar>
          </w:tcPr>
          <w:p>
            <w:r>
              <w:t>Margins</w:t>
            </w:r>
          </w:p>
        </w:tc>
        <w:tc>
          <w:tcPr>
            <w:tcW w:type="dxa" w:w="4997"/>
            <w:tcMar>
              <w:top w:w="75" w:type="dxa"/>
              <w:start w:w="100" w:type="dxa"/>
              <w:bottom w:w="75" w:type="dxa"/>
              <w:end w:w="100" w:type="dxa"/>
            </w:tcMar>
          </w:tcPr>
          <w:p>
            <w:r>
              <w:t>1 inch on all sides</w:t>
            </w:r>
          </w:p>
        </w:tc>
      </w:tr>
      <w:tr>
        <w:trPr>
          <w:cantSplit/>
        </w:trPr>
        <w:tc>
          <w:tcPr>
            <w:tcW w:type="dxa" w:w="4997"/>
            <w:tcMar>
              <w:top w:w="75" w:type="dxa"/>
              <w:start w:w="100" w:type="dxa"/>
              <w:bottom w:w="75" w:type="dxa"/>
              <w:end w:w="100" w:type="dxa"/>
            </w:tcMar>
          </w:tcPr>
          <w:p>
            <w:r>
              <w:t>Title</w:t>
            </w:r>
          </w:p>
        </w:tc>
        <w:tc>
          <w:tcPr>
            <w:tcW w:type="dxa" w:w="4997"/>
            <w:tcMar>
              <w:top w:w="75" w:type="dxa"/>
              <w:start w:w="100" w:type="dxa"/>
              <w:bottom w:w="75" w:type="dxa"/>
              <w:end w:w="100" w:type="dxa"/>
            </w:tcMar>
          </w:tcPr>
          <w:p>
            <w:r>
              <w:t>Calibri 12 pt, bold, centred; format: “Libya News Headlines – [date/range]”</w:t>
            </w:r>
          </w:p>
        </w:tc>
      </w:tr>
      <w:tr>
        <w:trPr>
          <w:cantSplit/>
        </w:trPr>
        <w:tc>
          <w:tcPr>
            <w:tcW w:type="dxa" w:w="4997"/>
            <w:tcMar>
              <w:top w:w="75" w:type="dxa"/>
              <w:start w:w="100" w:type="dxa"/>
              <w:bottom w:w="75" w:type="dxa"/>
              <w:end w:w="100" w:type="dxa"/>
            </w:tcMar>
          </w:tcPr>
          <w:p>
            <w:r>
              <w:t>Main section headings</w:t>
            </w:r>
          </w:p>
        </w:tc>
        <w:tc>
          <w:tcPr>
            <w:tcW w:type="dxa" w:w="4997"/>
            <w:tcMar>
              <w:top w:w="75" w:type="dxa"/>
              <w:start w:w="100" w:type="dxa"/>
              <w:bottom w:w="75" w:type="dxa"/>
              <w:end w:w="100" w:type="dxa"/>
            </w:tcMar>
          </w:tcPr>
          <w:p>
            <w:r>
              <w:t>Impact 14 pt, black, left-aligned; no numbering</w:t>
            </w:r>
          </w:p>
        </w:tc>
      </w:tr>
      <w:tr>
        <w:trPr>
          <w:cantSplit/>
        </w:trPr>
        <w:tc>
          <w:tcPr>
            <w:tcW w:type="dxa" w:w="4997"/>
            <w:tcMar>
              <w:top w:w="75" w:type="dxa"/>
              <w:start w:w="100" w:type="dxa"/>
              <w:bottom w:w="75" w:type="dxa"/>
              <w:end w:w="100" w:type="dxa"/>
            </w:tcMar>
          </w:tcPr>
          <w:p>
            <w:r>
              <w:t>Subsection headings</w:t>
            </w:r>
          </w:p>
        </w:tc>
        <w:tc>
          <w:tcPr>
            <w:tcW w:type="dxa" w:w="4997"/>
            <w:tcMar>
              <w:top w:w="75" w:type="dxa"/>
              <w:start w:w="100" w:type="dxa"/>
              <w:bottom w:w="75" w:type="dxa"/>
              <w:end w:w="100" w:type="dxa"/>
            </w:tcMar>
          </w:tcPr>
          <w:p>
            <w:r>
              <w:t>Calibri 12 pt, bold; left-aligned</w:t>
            </w:r>
          </w:p>
        </w:tc>
      </w:tr>
      <w:tr>
        <w:trPr>
          <w:cantSplit/>
        </w:trPr>
        <w:tc>
          <w:tcPr>
            <w:tcW w:type="dxa" w:w="4997"/>
            <w:tcMar>
              <w:top w:w="75" w:type="dxa"/>
              <w:start w:w="100" w:type="dxa"/>
              <w:bottom w:w="75" w:type="dxa"/>
              <w:end w:w="100" w:type="dxa"/>
            </w:tcMar>
          </w:tcPr>
          <w:p>
            <w:r>
              <w:t>Body/headlines</w:t>
            </w:r>
          </w:p>
        </w:tc>
        <w:tc>
          <w:tcPr>
            <w:tcW w:type="dxa" w:w="4997"/>
            <w:tcMar>
              <w:top w:w="75" w:type="dxa"/>
              <w:start w:w="100" w:type="dxa"/>
              <w:bottom w:w="75" w:type="dxa"/>
              <w:end w:w="100" w:type="dxa"/>
            </w:tcMar>
          </w:tcPr>
          <w:p>
            <w:r>
              <w:t>Calibri 12 pt, black</w:t>
            </w:r>
          </w:p>
        </w:tc>
      </w:tr>
      <w:tr>
        <w:trPr>
          <w:cantSplit/>
        </w:trPr>
        <w:tc>
          <w:tcPr>
            <w:tcW w:type="dxa" w:w="4997"/>
            <w:tcMar>
              <w:top w:w="75" w:type="dxa"/>
              <w:start w:w="100" w:type="dxa"/>
              <w:bottom w:w="75" w:type="dxa"/>
              <w:end w:w="100" w:type="dxa"/>
            </w:tcMar>
          </w:tcPr>
          <w:p>
            <w:r>
              <w:t>Default paragraph spacing</w:t>
            </w:r>
          </w:p>
        </w:tc>
        <w:tc>
          <w:tcPr>
            <w:tcW w:type="dxa" w:w="4997"/>
            <w:tcMar>
              <w:top w:w="75" w:type="dxa"/>
              <w:start w:w="100" w:type="dxa"/>
              <w:bottom w:w="75" w:type="dxa"/>
              <w:end w:w="100" w:type="dxa"/>
            </w:tcMar>
          </w:tcPr>
          <w:p>
            <w:r>
              <w:t>8 pt after</w:t>
            </w:r>
          </w:p>
        </w:tc>
      </w:tr>
      <w:tr>
        <w:trPr>
          <w:cantSplit/>
        </w:trPr>
        <w:tc>
          <w:tcPr>
            <w:tcW w:type="dxa" w:w="4997"/>
            <w:tcMar>
              <w:top w:w="75" w:type="dxa"/>
              <w:start w:w="100" w:type="dxa"/>
              <w:bottom w:w="75" w:type="dxa"/>
              <w:end w:w="100" w:type="dxa"/>
            </w:tcMar>
          </w:tcPr>
          <w:p>
            <w:r>
              <w:t>Line spacing</w:t>
            </w:r>
          </w:p>
        </w:tc>
        <w:tc>
          <w:tcPr>
            <w:tcW w:type="dxa" w:w="4997"/>
            <w:tcMar>
              <w:top w:w="75" w:type="dxa"/>
              <w:start w:w="100" w:type="dxa"/>
              <w:bottom w:w="75" w:type="dxa"/>
              <w:end w:w="100" w:type="dxa"/>
            </w:tcMar>
          </w:tcPr>
          <w:p>
            <w:r>
              <w:t>Approximately 1.16 (Word line value about 279/240)</w:t>
            </w:r>
          </w:p>
        </w:tc>
      </w:tr>
      <w:tr>
        <w:trPr>
          <w:cantSplit/>
        </w:trPr>
        <w:tc>
          <w:tcPr>
            <w:tcW w:type="dxa" w:w="4997"/>
            <w:tcMar>
              <w:top w:w="75" w:type="dxa"/>
              <w:start w:w="100" w:type="dxa"/>
              <w:bottom w:w="75" w:type="dxa"/>
              <w:end w:w="100" w:type="dxa"/>
            </w:tcMar>
          </w:tcPr>
          <w:p>
            <w:r>
              <w:t>Headline layout</w:t>
            </w:r>
          </w:p>
        </w:tc>
        <w:tc>
          <w:tcPr>
            <w:tcW w:type="dxa" w:w="4997"/>
            <w:tcMar>
              <w:top w:w="75" w:type="dxa"/>
              <w:start w:w="100" w:type="dxa"/>
              <w:bottom w:w="75" w:type="dxa"/>
              <w:end w:w="100" w:type="dxa"/>
            </w:tcMar>
          </w:tcPr>
          <w:p>
            <w:r>
              <w:t>Current controlling format uses Word-native bullets</w:t>
            </w:r>
          </w:p>
        </w:tc>
      </w:tr>
      <w:tr>
        <w:trPr>
          <w:cantSplit/>
        </w:trPr>
        <w:tc>
          <w:tcPr>
            <w:tcW w:type="dxa" w:w="4997"/>
            <w:tcMar>
              <w:top w:w="75" w:type="dxa"/>
              <w:start w:w="100" w:type="dxa"/>
              <w:bottom w:w="75" w:type="dxa"/>
              <w:end w:w="100" w:type="dxa"/>
            </w:tcMar>
          </w:tcPr>
          <w:p>
            <w:r>
              <w:t>Bullet indent</w:t>
            </w:r>
          </w:p>
        </w:tc>
        <w:tc>
          <w:tcPr>
            <w:tcW w:type="dxa" w:w="4997"/>
            <w:tcMar>
              <w:top w:w="75" w:type="dxa"/>
              <w:start w:w="100" w:type="dxa"/>
              <w:bottom w:w="75" w:type="dxa"/>
              <w:end w:w="100" w:type="dxa"/>
            </w:tcMar>
          </w:tcPr>
          <w:p>
            <w:r>
              <w:t>0.5 inch left, 0.25 inch hanging indent</w:t>
            </w:r>
          </w:p>
        </w:tc>
      </w:tr>
      <w:tr>
        <w:trPr>
          <w:cantSplit/>
        </w:trPr>
        <w:tc>
          <w:tcPr>
            <w:tcW w:type="dxa" w:w="4997"/>
            <w:tcMar>
              <w:top w:w="75" w:type="dxa"/>
              <w:start w:w="100" w:type="dxa"/>
              <w:bottom w:w="75" w:type="dxa"/>
              <w:end w:w="100" w:type="dxa"/>
            </w:tcMar>
          </w:tcPr>
          <w:p>
            <w:r>
              <w:t>Hyperlink style</w:t>
            </w:r>
          </w:p>
        </w:tc>
        <w:tc>
          <w:tcPr>
            <w:tcW w:type="dxa" w:w="4997"/>
            <w:tcMar>
              <w:top w:w="75" w:type="dxa"/>
              <w:start w:w="100" w:type="dxa"/>
              <w:bottom w:w="75" w:type="dxa"/>
              <w:end w:w="100" w:type="dxa"/>
            </w:tcMar>
          </w:tcPr>
          <w:p>
            <w:r>
              <w:t>#467886, single underline</w:t>
            </w:r>
          </w:p>
        </w:tc>
      </w:tr>
      <w:tr>
        <w:trPr>
          <w:cantSplit/>
        </w:trPr>
        <w:tc>
          <w:tcPr>
            <w:tcW w:type="dxa" w:w="4997"/>
            <w:tcMar>
              <w:top w:w="75" w:type="dxa"/>
              <w:start w:w="100" w:type="dxa"/>
              <w:bottom w:w="75" w:type="dxa"/>
              <w:end w:w="100" w:type="dxa"/>
            </w:tcMar>
          </w:tcPr>
          <w:p>
            <w:r>
              <w:t>Tables</w:t>
            </w:r>
          </w:p>
        </w:tc>
        <w:tc>
          <w:tcPr>
            <w:tcW w:type="dxa" w:w="4997"/>
            <w:tcMar>
              <w:top w:w="75" w:type="dxa"/>
              <w:start w:w="100" w:type="dxa"/>
              <w:bottom w:w="75" w:type="dxa"/>
              <w:end w:w="100" w:type="dxa"/>
            </w:tcMar>
          </w:tcPr>
          <w:p>
            <w:r>
              <w:t>Not used in the final media report</w:t>
            </w:r>
          </w:p>
        </w:tc>
      </w:tr>
      <w:tr>
        <w:trPr>
          <w:cantSplit/>
        </w:trPr>
        <w:tc>
          <w:tcPr>
            <w:tcW w:type="dxa" w:w="4997"/>
            <w:tcMar>
              <w:top w:w="75" w:type="dxa"/>
              <w:start w:w="100" w:type="dxa"/>
              <w:bottom w:w="75" w:type="dxa"/>
              <w:end w:w="100" w:type="dxa"/>
            </w:tcMar>
          </w:tcPr>
          <w:p>
            <w:r>
              <w:t>Empty headings</w:t>
            </w:r>
          </w:p>
        </w:tc>
        <w:tc>
          <w:tcPr>
            <w:tcW w:type="dxa" w:w="4997"/>
            <w:tcMar>
              <w:top w:w="75" w:type="dxa"/>
              <w:start w:w="100" w:type="dxa"/>
              <w:bottom w:w="75" w:type="dxa"/>
              <w:end w:w="100" w:type="dxa"/>
            </w:tcMar>
          </w:tcPr>
          <w:p>
            <w:r>
              <w:t>Prohibited</w:t>
            </w:r>
          </w:p>
        </w:tc>
      </w:tr>
      <w:tr>
        <w:trPr>
          <w:cantSplit/>
        </w:trPr>
        <w:tc>
          <w:tcPr>
            <w:tcW w:type="dxa" w:w="4997"/>
            <w:tcMar>
              <w:top w:w="75" w:type="dxa"/>
              <w:start w:w="100" w:type="dxa"/>
              <w:bottom w:w="75" w:type="dxa"/>
              <w:end w:w="100" w:type="dxa"/>
            </w:tcMar>
          </w:tcPr>
          <w:p>
            <w:r>
              <w:t>Introductory subtitle</w:t>
            </w:r>
          </w:p>
        </w:tc>
        <w:tc>
          <w:tcPr>
            <w:tcW w:type="dxa" w:w="4997"/>
            <w:tcMar>
              <w:top w:w="75" w:type="dxa"/>
              <w:start w:w="100" w:type="dxa"/>
              <w:bottom w:w="75" w:type="dxa"/>
              <w:end w:w="100" w:type="dxa"/>
            </w:tcMar>
          </w:tcPr>
          <w:p>
            <w:r>
              <w:t>Prohibited unless explicitly requested</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EAF2F8"/>
            <w:tcMar>
              <w:top w:w="120" w:type="dxa"/>
              <w:start w:w="160" w:type="dxa"/>
              <w:bottom w:w="120" w:type="dxa"/>
              <w:end w:w="160" w:type="dxa"/>
            </w:tcMar>
          </w:tcPr>
          <w:p>
            <w:pPr>
              <w:spacing w:after="60"/>
            </w:pPr>
            <w:r>
              <w:rPr>
                <w:b/>
                <w:color w:val="0F4761"/>
              </w:rPr>
              <w:t>Legacy-format exception</w:t>
            </w:r>
          </w:p>
          <w:p>
            <w:pPr>
              <w:spacing w:after="0"/>
            </w:pPr>
            <w:r>
              <w:t>Some earlier June reports used plain paragraphs without bullets. The current controlling layout is 20260621, which uses bullets. Apply the older plain-paragraph style only when the user explicitly asks for the legacy layout or provides a newer sample that clearly supersedes the current standard.</w:t>
            </w:r>
          </w:p>
        </w:tc>
      </w:tr>
    </w:tbl>
    <w:p>
      <w:pPr>
        <w:pStyle w:val="Heading2"/>
        <w:keepNext/>
      </w:pPr>
      <w:r>
        <w:rPr>
          <w:rFonts w:ascii="Calibri" w:hAnsi="Calibri"/>
        </w:rPr>
        <w:t>12.1 Title and date rules</w:t>
      </w:r>
    </w:p>
    <w:p>
      <w:pPr>
        <w:pStyle w:val="ListBullet"/>
        <w:spacing w:after="60" w:line="259" w:lineRule="auto"/>
      </w:pPr>
      <w:r>
        <w:rPr>
          <w:rFonts w:ascii="Calibri" w:hAnsi="Calibri"/>
        </w:rPr>
        <w:t>Use the exact coverage date or date range requested by the user.</w:t>
      </w:r>
    </w:p>
    <w:p>
      <w:pPr>
        <w:pStyle w:val="ListBullet"/>
        <w:spacing w:after="60" w:line="259" w:lineRule="auto"/>
      </w:pPr>
      <w:r>
        <w:rPr>
          <w:rFonts w:ascii="Calibri" w:hAnsi="Calibri"/>
        </w:rPr>
        <w:t>Do not add the year when the controlling sample omits it, unless the user requests the year or ambiguity requires it.</w:t>
      </w:r>
    </w:p>
    <w:p>
      <w:pPr>
        <w:pStyle w:val="ListBullet"/>
        <w:spacing w:after="60" w:line="259" w:lineRule="auto"/>
      </w:pPr>
      <w:r>
        <w:rPr>
          <w:rFonts w:ascii="Calibri" w:hAnsi="Calibri"/>
        </w:rPr>
        <w:t>Use a consistent hyphen/range style throughout the file.</w:t>
      </w:r>
    </w:p>
    <w:p>
      <w:pPr>
        <w:pStyle w:val="ListBullet"/>
        <w:spacing w:after="60" w:line="259" w:lineRule="auto"/>
      </w:pPr>
      <w:r>
        <w:rPr>
          <w:rFonts w:ascii="Calibri" w:hAnsi="Calibri"/>
        </w:rPr>
        <w:t>Remove duplicate titles, generated subtitles and explanatory notes such as “Daily media monitoring report compiled from…”.</w:t>
      </w:r>
    </w:p>
    <w:p>
      <w:pPr>
        <w:pStyle w:val="Heading2"/>
        <w:keepNext/>
      </w:pPr>
      <w:r>
        <w:rPr>
          <w:rFonts w:ascii="Calibri" w:hAnsi="Calibri"/>
        </w:rPr>
        <w:t>12.2 Disclaimer</w:t>
      </w:r>
    </w:p>
    <w:p>
      <w:pPr>
        <w:pStyle w:val="Rule"/>
      </w:pPr>
      <w:r>
        <w:rPr>
          <w:rFonts w:ascii="Calibri" w:hAnsi="Calibri"/>
        </w:rPr>
        <w:t>The report ends with a horizontal separator and the exact disclaimer below. Do not replace it with an AI-generated disclaimer:</w:t>
      </w:r>
    </w:p>
    <w:p>
      <w:pPr>
        <w:pStyle w:val="Example"/>
      </w:pPr>
      <w:r>
        <w:rPr>
          <w:rFonts w:ascii="Calibri" w:hAnsi="Calibri"/>
          <w:b/>
        </w:rPr>
        <w:t xml:space="preserve">DISCLAIMER: </w:t>
      </w:r>
      <w:r>
        <w:rPr>
          <w:rFonts w:ascii="Calibri" w:hAnsi="Calibri"/>
        </w:rPr>
        <w:t>The Media Monitoring Reviews are compiled by the Public Information &amp; Communications Section (PICS) of UNSMIL. These reports do not reflect the views or official positions of UNSMIL, nor does UNSMIL vouch for the accuracy of the information contained therein. If you have any questions/suggestions, please contact unsmil-info-libya@un.org.</w:t>
      </w:r>
    </w:p>
    <w:p>
      <w:pPr>
        <w:pStyle w:val="Heading1"/>
        <w:keepNext/>
        <w:pBdr>
          <w:bottom w:val="single" w:sz="8" w:space="4" w:color="D9E2E8"/>
        </w:pBdr>
      </w:pPr>
      <w:r>
        <w:rPr>
          <w:rFonts w:ascii="Calibri" w:hAnsi="Calibri"/>
        </w:rPr>
        <w:t>13. Varieties section</w:t>
      </w:r>
    </w:p>
    <w:p>
      <w:pPr>
        <w:pStyle w:val="ListBullet"/>
        <w:spacing w:after="60" w:line="259" w:lineRule="auto"/>
      </w:pPr>
      <w:r>
        <w:rPr>
          <w:rFonts w:ascii="Calibri" w:hAnsi="Calibri"/>
        </w:rPr>
        <w:t>Use a content-type prefix: Analysis |, Feature |, Opinion |, Think Tank |, Podcast |, Documentary | or Report |.</w:t>
      </w:r>
    </w:p>
    <w:p>
      <w:pPr>
        <w:pStyle w:val="ListBullet"/>
        <w:spacing w:after="60" w:line="259" w:lineRule="auto"/>
      </w:pPr>
      <w:r>
        <w:rPr>
          <w:rFonts w:ascii="Calibri" w:hAnsi="Calibri"/>
        </w:rPr>
        <w:t>The title/source line remains a bullet under the current layout.</w:t>
      </w:r>
    </w:p>
    <w:p>
      <w:pPr>
        <w:pStyle w:val="ListBullet"/>
        <w:spacing w:after="60" w:line="259" w:lineRule="auto"/>
      </w:pPr>
      <w:r>
        <w:rPr>
          <w:rFonts w:ascii="Calibri" w:hAnsi="Calibri"/>
        </w:rPr>
        <w:t>Add a short neutral paragraph beneath substantial analytical or feature items explaining the central argument or subject.</w:t>
      </w:r>
    </w:p>
    <w:p>
      <w:pPr>
        <w:pStyle w:val="ListBullet"/>
        <w:spacing w:after="60" w:line="259" w:lineRule="auto"/>
      </w:pPr>
      <w:r>
        <w:rPr>
          <w:rFonts w:ascii="Calibri" w:hAnsi="Calibri"/>
        </w:rPr>
        <w:t>The summary paragraph must paraphrase; it must not reproduce long copyrighted passages.</w:t>
      </w:r>
    </w:p>
    <w:p>
      <w:pPr>
        <w:pStyle w:val="ListBullet"/>
        <w:spacing w:after="60" w:line="259" w:lineRule="auto"/>
      </w:pPr>
      <w:r>
        <w:rPr>
          <w:rFonts w:ascii="Calibri" w:hAnsi="Calibri"/>
        </w:rPr>
        <w:t>Do not label ordinary straight news as Analysis or Feature merely to fill the section.</w:t>
      </w:r>
    </w:p>
    <w:p>
      <w:pPr>
        <w:pStyle w:val="ListBullet"/>
        <w:spacing w:after="60" w:line="259" w:lineRule="auto"/>
      </w:pPr>
      <w:r>
        <w:rPr>
          <w:rFonts w:ascii="Calibri" w:hAnsi="Calibri"/>
        </w:rPr>
        <w:t>Selected culture, heritage or nationally relevant sports items may be headline-only when no explanatory paragraph is needed.</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D9EAF3"/>
            <w:vAlign w:val="center"/>
          </w:tcPr>
          <w:p>
            <w:r>
              <w:rPr>
                <w:b/>
              </w:rPr>
              <w:t>Situation</w:t>
            </w:r>
          </w:p>
        </w:tc>
        <w:tc>
          <w:tcPr>
            <w:tcW w:type="dxa" w:w="3331"/>
            <w:shd w:fill="D9EAF3"/>
            <w:vAlign w:val="center"/>
          </w:tcPr>
          <w:p>
            <w:r>
              <w:rPr>
                <w:b/>
              </w:rPr>
              <w:t>Correct PICS treatment</w:t>
            </w:r>
          </w:p>
        </w:tc>
        <w:tc>
          <w:tcPr>
            <w:tcW w:type="dxa" w:w="3331"/>
            <w:shd w:fill="D9EAF3"/>
            <w:vAlign w:val="center"/>
          </w:tcPr>
          <w:p>
            <w:r>
              <w:rPr>
                <w:b/>
              </w:rPr>
              <w:t>Avoid</w:t>
            </w:r>
          </w:p>
        </w:tc>
      </w:tr>
      <w:tr>
        <w:trPr>
          <w:cantSplit/>
        </w:trPr>
        <w:tc>
          <w:tcPr>
            <w:tcW w:type="dxa" w:w="3331"/>
            <w:tcMar>
              <w:top w:w="80" w:type="dxa"/>
              <w:start w:w="100" w:type="dxa"/>
              <w:bottom w:w="80" w:type="dxa"/>
              <w:end w:w="100" w:type="dxa"/>
            </w:tcMar>
            <w:vAlign w:val="top"/>
          </w:tcPr>
          <w:p>
            <w:r>
              <w:t>Analysis item</w:t>
            </w:r>
          </w:p>
        </w:tc>
        <w:tc>
          <w:tcPr>
            <w:tcW w:type="dxa" w:w="3331"/>
            <w:tcMar>
              <w:top w:w="80" w:type="dxa"/>
              <w:start w:w="100" w:type="dxa"/>
              <w:bottom w:w="80" w:type="dxa"/>
              <w:end w:w="100" w:type="dxa"/>
            </w:tcMar>
            <w:vAlign w:val="top"/>
          </w:tcPr>
          <w:p>
            <w:r>
              <w:t>Analysis | How Libya’s oil wealth sustains rival centres of power – Libya Review</w:t>
              <w:br/>
              <w:t>One short paragraph explaining the article’s thesis and evidence.</w:t>
            </w:r>
          </w:p>
        </w:tc>
        <w:tc>
          <w:tcPr>
            <w:tcW w:type="dxa" w:w="3331"/>
            <w:tcMar>
              <w:top w:w="80" w:type="dxa"/>
              <w:start w:w="100" w:type="dxa"/>
              <w:bottom w:w="80" w:type="dxa"/>
              <w:end w:w="100" w:type="dxa"/>
            </w:tcMar>
            <w:vAlign w:val="top"/>
          </w:tcPr>
          <w:p>
            <w:r>
              <w:t>A long copied excerpt from the article.</w:t>
            </w:r>
          </w:p>
        </w:tc>
      </w:tr>
      <w:tr>
        <w:trPr>
          <w:cantSplit/>
        </w:trPr>
        <w:tc>
          <w:tcPr>
            <w:tcW w:type="dxa" w:w="3331"/>
            <w:tcMar>
              <w:top w:w="80" w:type="dxa"/>
              <w:start w:w="100" w:type="dxa"/>
              <w:bottom w:w="80" w:type="dxa"/>
              <w:end w:w="100" w:type="dxa"/>
            </w:tcMar>
            <w:vAlign w:val="top"/>
          </w:tcPr>
          <w:p>
            <w:r>
              <w:t>Feature item</w:t>
            </w:r>
          </w:p>
        </w:tc>
        <w:tc>
          <w:tcPr>
            <w:tcW w:type="dxa" w:w="3331"/>
            <w:tcMar>
              <w:top w:w="80" w:type="dxa"/>
              <w:start w:w="100" w:type="dxa"/>
              <w:bottom w:w="80" w:type="dxa"/>
              <w:end w:w="100" w:type="dxa"/>
            </w:tcMar>
            <w:vAlign w:val="top"/>
          </w:tcPr>
          <w:p>
            <w:r>
              <w:t>Feature | A seventy-year-old woman in Sabha sits basic education exams – Al Wasat (Arabic)</w:t>
              <w:br/>
              <w:t>A concise contextual summary.</w:t>
            </w:r>
          </w:p>
        </w:tc>
        <w:tc>
          <w:tcPr>
            <w:tcW w:type="dxa" w:w="3331"/>
            <w:tcMar>
              <w:top w:w="80" w:type="dxa"/>
              <w:start w:w="100" w:type="dxa"/>
              <w:bottom w:w="80" w:type="dxa"/>
              <w:end w:w="100" w:type="dxa"/>
            </w:tcMar>
            <w:vAlign w:val="top"/>
          </w:tcPr>
          <w:p>
            <w:r>
              <w:t>A vague headline with no explanation.</w:t>
            </w:r>
          </w:p>
        </w:tc>
      </w:tr>
      <w:tr>
        <w:trPr>
          <w:cantSplit/>
        </w:trPr>
        <w:tc>
          <w:tcPr>
            <w:tcW w:type="dxa" w:w="3331"/>
            <w:tcMar>
              <w:top w:w="80" w:type="dxa"/>
              <w:start w:w="100" w:type="dxa"/>
              <w:bottom w:w="80" w:type="dxa"/>
              <w:end w:w="100" w:type="dxa"/>
            </w:tcMar>
            <w:vAlign w:val="top"/>
          </w:tcPr>
          <w:p>
            <w:r>
              <w:t>Straight heritage news</w:t>
            </w:r>
          </w:p>
        </w:tc>
        <w:tc>
          <w:tcPr>
            <w:tcW w:type="dxa" w:w="3331"/>
            <w:tcMar>
              <w:top w:w="80" w:type="dxa"/>
              <w:start w:w="100" w:type="dxa"/>
              <w:bottom w:w="80" w:type="dxa"/>
              <w:end w:w="100" w:type="dxa"/>
            </w:tcMar>
            <w:vAlign w:val="top"/>
          </w:tcPr>
          <w:p>
            <w:r>
              <w:t>Archaeological artefacts handed to Al-Abraq antiquities authority – LANA (Arabic)</w:t>
            </w:r>
          </w:p>
        </w:tc>
        <w:tc>
          <w:tcPr>
            <w:tcW w:type="dxa" w:w="3331"/>
            <w:tcMar>
              <w:top w:w="80" w:type="dxa"/>
              <w:start w:w="100" w:type="dxa"/>
              <w:bottom w:w="80" w:type="dxa"/>
              <w:end w:w="100" w:type="dxa"/>
            </w:tcMar>
            <w:vAlign w:val="top"/>
          </w:tcPr>
          <w:p>
            <w:r>
              <w:t>Forcing “Feature |” when the item is ordinary news.</w:t>
            </w:r>
          </w:p>
        </w:tc>
      </w:tr>
    </w:tbl>
    <w:p>
      <w:pPr>
        <w:pStyle w:val="Heading1"/>
        <w:keepNext/>
        <w:pBdr>
          <w:bottom w:val="single" w:sz="8" w:space="4" w:color="D9E2E8"/>
        </w:pBdr>
      </w:pPr>
      <w:r>
        <w:rPr>
          <w:rFonts w:ascii="Calibri" w:hAnsi="Calibri"/>
        </w:rPr>
        <w:t>14. Verification matrix and audit trail</w:t>
      </w:r>
    </w:p>
    <w:p>
      <w:r>
        <w:rPr>
          <w:rFonts w:ascii="Calibri" w:hAnsi="Calibri"/>
        </w:rPr>
        <w:t>For large or high-risk reports, maintain a verification table with at least the following fields:</w:t>
      </w:r>
    </w:p>
    <w:p>
      <w:pPr>
        <w:pStyle w:val="ListBullet"/>
        <w:spacing w:after="60" w:line="259" w:lineRule="auto"/>
      </w:pPr>
      <w:r>
        <w:rPr>
          <w:rFonts w:ascii="Calibri" w:hAnsi="Calibri"/>
        </w:rPr>
        <w:t>Section</w:t>
      </w:r>
    </w:p>
    <w:p>
      <w:pPr>
        <w:pStyle w:val="ListBullet"/>
        <w:spacing w:after="60" w:line="259" w:lineRule="auto"/>
      </w:pPr>
      <w:r>
        <w:rPr>
          <w:rFonts w:ascii="Calibri" w:hAnsi="Calibri"/>
        </w:rPr>
        <w:t>Subsection</w:t>
      </w:r>
    </w:p>
    <w:p>
      <w:pPr>
        <w:pStyle w:val="ListBullet"/>
        <w:spacing w:after="60" w:line="259" w:lineRule="auto"/>
      </w:pPr>
      <w:r>
        <w:rPr>
          <w:rFonts w:ascii="Calibri" w:hAnsi="Calibri"/>
        </w:rPr>
        <w:t>English PICS headline</w:t>
      </w:r>
    </w:p>
    <w:p>
      <w:pPr>
        <w:pStyle w:val="ListBullet"/>
        <w:spacing w:after="60" w:line="259" w:lineRule="auto"/>
      </w:pPr>
      <w:r>
        <w:rPr>
          <w:rFonts w:ascii="Calibri" w:hAnsi="Calibri"/>
        </w:rPr>
        <w:t>Original headline</w:t>
      </w:r>
    </w:p>
    <w:p>
      <w:pPr>
        <w:pStyle w:val="ListBullet"/>
        <w:spacing w:after="60" w:line="259" w:lineRule="auto"/>
      </w:pPr>
      <w:r>
        <w:rPr>
          <w:rFonts w:ascii="Calibri" w:hAnsi="Calibri"/>
        </w:rPr>
        <w:t>Source</w:t>
      </w:r>
    </w:p>
    <w:p>
      <w:pPr>
        <w:pStyle w:val="ListBullet"/>
        <w:spacing w:after="60" w:line="259" w:lineRule="auto"/>
      </w:pPr>
      <w:r>
        <w:rPr>
          <w:rFonts w:ascii="Calibri" w:hAnsi="Calibri"/>
        </w:rPr>
        <w:t>Language</w:t>
      </w:r>
    </w:p>
    <w:p>
      <w:pPr>
        <w:pStyle w:val="ListBullet"/>
        <w:spacing w:after="60" w:line="259" w:lineRule="auto"/>
      </w:pPr>
      <w:r>
        <w:rPr>
          <w:rFonts w:ascii="Calibri" w:hAnsi="Calibri"/>
        </w:rPr>
        <w:t>Direct URL</w:t>
      </w:r>
    </w:p>
    <w:p>
      <w:pPr>
        <w:pStyle w:val="ListBullet"/>
        <w:spacing w:after="60" w:line="259" w:lineRule="auto"/>
      </w:pPr>
      <w:r>
        <w:rPr>
          <w:rFonts w:ascii="Calibri" w:hAnsi="Calibri"/>
        </w:rPr>
        <w:t>Publication date</w:t>
      </w:r>
    </w:p>
    <w:p>
      <w:pPr>
        <w:pStyle w:val="ListBullet"/>
        <w:spacing w:after="60" w:line="259" w:lineRule="auto"/>
      </w:pPr>
      <w:r>
        <w:rPr>
          <w:rFonts w:ascii="Calibri" w:hAnsi="Calibri"/>
        </w:rPr>
        <w:t>Date in coverage window?</w:t>
      </w:r>
    </w:p>
    <w:p>
      <w:pPr>
        <w:pStyle w:val="ListBullet"/>
        <w:spacing w:after="60" w:line="259" w:lineRule="auto"/>
      </w:pPr>
      <w:r>
        <w:rPr>
          <w:rFonts w:ascii="Calibri" w:hAnsi="Calibri"/>
        </w:rPr>
        <w:t>Source approved under current workflow?</w:t>
      </w:r>
    </w:p>
    <w:p>
      <w:pPr>
        <w:pStyle w:val="ListBullet"/>
        <w:spacing w:after="60" w:line="259" w:lineRule="auto"/>
      </w:pPr>
      <w:r>
        <w:rPr>
          <w:rFonts w:ascii="Calibri" w:hAnsi="Calibri"/>
        </w:rPr>
        <w:t>Libya-related?</w:t>
      </w:r>
    </w:p>
    <w:p>
      <w:pPr>
        <w:pStyle w:val="ListBullet"/>
        <w:spacing w:after="60" w:line="259" w:lineRule="auto"/>
      </w:pPr>
      <w:r>
        <w:rPr>
          <w:rFonts w:ascii="Calibri" w:hAnsi="Calibri"/>
        </w:rPr>
        <w:t>Inclusion decision</w:t>
      </w:r>
    </w:p>
    <w:p>
      <w:pPr>
        <w:pStyle w:val="ListBullet"/>
        <w:spacing w:after="60" w:line="259" w:lineRule="auto"/>
      </w:pPr>
      <w:r>
        <w:rPr>
          <w:rFonts w:ascii="Calibri" w:hAnsi="Calibri"/>
        </w:rPr>
        <w:t>Duplicate/cluster handling</w:t>
      </w:r>
    </w:p>
    <w:p>
      <w:pPr>
        <w:pStyle w:val="ListBullet"/>
        <w:spacing w:after="60" w:line="259" w:lineRule="auto"/>
      </w:pPr>
      <w:r>
        <w:rPr>
          <w:rFonts w:ascii="Calibri" w:hAnsi="Calibri"/>
        </w:rPr>
        <w:t>UN special-rule status</w:t>
      </w:r>
    </w:p>
    <w:p>
      <w:pPr>
        <w:pStyle w:val="ListBullet"/>
        <w:spacing w:after="60" w:line="259" w:lineRule="auto"/>
      </w:pPr>
      <w:r>
        <w:rPr>
          <w:rFonts w:ascii="Calibri" w:hAnsi="Calibri"/>
        </w:rPr>
        <w:t>Role/title verification</w:t>
      </w:r>
    </w:p>
    <w:p>
      <w:pPr>
        <w:pStyle w:val="ListBullet"/>
        <w:spacing w:after="60" w:line="259" w:lineRule="auto"/>
      </w:pPr>
      <w:r>
        <w:rPr>
          <w:rFonts w:ascii="Calibri" w:hAnsi="Calibri"/>
        </w:rPr>
        <w:t>Notes</w:t>
      </w:r>
    </w:p>
    <w:p>
      <w:pPr>
        <w:pStyle w:val="Heading2"/>
        <w:keepNext/>
      </w:pPr>
      <w:r>
        <w:rPr>
          <w:rFonts w:ascii="Calibri" w:hAnsi="Calibri"/>
        </w:rPr>
        <w:t>14.1 Standard exclusion reasons</w:t>
      </w:r>
    </w:p>
    <w:p>
      <w:pPr>
        <w:pStyle w:val="ListBullet"/>
        <w:spacing w:after="60" w:line="259" w:lineRule="auto"/>
      </w:pPr>
      <w:r>
        <w:rPr>
          <w:rFonts w:ascii="Calibri" w:hAnsi="Calibri"/>
        </w:rPr>
        <w:t>Outside date window</w:t>
      </w:r>
    </w:p>
    <w:p>
      <w:pPr>
        <w:pStyle w:val="ListBullet"/>
        <w:spacing w:after="60" w:line="259" w:lineRule="auto"/>
      </w:pPr>
      <w:r>
        <w:rPr>
          <w:rFonts w:ascii="Calibri" w:hAnsi="Calibri"/>
        </w:rPr>
        <w:t>Not Libya-related</w:t>
      </w:r>
    </w:p>
    <w:p>
      <w:pPr>
        <w:pStyle w:val="ListBullet"/>
        <w:spacing w:after="60" w:line="259" w:lineRule="auto"/>
      </w:pPr>
      <w:r>
        <w:rPr>
          <w:rFonts w:ascii="Calibri" w:hAnsi="Calibri"/>
        </w:rPr>
        <w:t>Homepage/category/navigation page</w:t>
      </w:r>
    </w:p>
    <w:p>
      <w:pPr>
        <w:pStyle w:val="ListBullet"/>
        <w:spacing w:after="60" w:line="259" w:lineRule="auto"/>
      </w:pPr>
      <w:r>
        <w:rPr>
          <w:rFonts w:ascii="Calibri" w:hAnsi="Calibri"/>
        </w:rPr>
        <w:t>Broken or unverifiable URL</w:t>
      </w:r>
    </w:p>
    <w:p>
      <w:pPr>
        <w:pStyle w:val="ListBullet"/>
        <w:spacing w:after="60" w:line="259" w:lineRule="auto"/>
      </w:pPr>
      <w:r>
        <w:rPr>
          <w:rFonts w:ascii="Calibri" w:hAnsi="Calibri"/>
        </w:rPr>
        <w:t>Duplicate exact copy</w:t>
      </w:r>
    </w:p>
    <w:p>
      <w:pPr>
        <w:pStyle w:val="ListBullet"/>
        <w:spacing w:after="60" w:line="259" w:lineRule="auto"/>
      </w:pPr>
      <w:r>
        <w:rPr>
          <w:rFonts w:ascii="Calibri" w:hAnsi="Calibri"/>
        </w:rPr>
        <w:t>Merged into named non-UN cluster</w:t>
      </w:r>
    </w:p>
    <w:p>
      <w:pPr>
        <w:pStyle w:val="ListBullet"/>
        <w:spacing w:after="60" w:line="259" w:lineRule="auto"/>
      </w:pPr>
      <w:r>
        <w:rPr>
          <w:rFonts w:ascii="Calibri" w:hAnsi="Calibri"/>
        </w:rPr>
        <w:t>Old story with no new development</w:t>
      </w:r>
    </w:p>
    <w:p>
      <w:pPr>
        <w:pStyle w:val="ListBullet"/>
        <w:spacing w:after="60" w:line="259" w:lineRule="auto"/>
      </w:pPr>
      <w:r>
        <w:rPr>
          <w:rFonts w:ascii="Calibri" w:hAnsi="Calibri"/>
        </w:rPr>
        <w:t>Low-value routine item</w:t>
      </w:r>
    </w:p>
    <w:p>
      <w:pPr>
        <w:pStyle w:val="ListBullet"/>
        <w:spacing w:after="60" w:line="259" w:lineRule="auto"/>
      </w:pPr>
      <w:r>
        <w:rPr>
          <w:rFonts w:ascii="Calibri" w:hAnsi="Calibri"/>
        </w:rPr>
        <w:t>Raw social post</w:t>
      </w:r>
    </w:p>
    <w:p>
      <w:pPr>
        <w:pStyle w:val="ListBullet"/>
        <w:spacing w:after="60" w:line="259" w:lineRule="auto"/>
      </w:pPr>
      <w:r>
        <w:rPr>
          <w:rFonts w:ascii="Calibri" w:hAnsi="Calibri"/>
        </w:rPr>
        <w:t>Unsupported title/source mismatch</w:t>
      </w:r>
    </w:p>
    <w:p>
      <w:pPr>
        <w:pStyle w:val="Heading2"/>
        <w:keepNext/>
      </w:pPr>
      <w:r>
        <w:rPr>
          <w:rFonts w:ascii="Calibri" w:hAnsi="Calibri"/>
        </w:rPr>
        <w:t>14.2 Required evidence for every retained item</w:t>
      </w:r>
    </w:p>
    <w:p>
      <w:pPr>
        <w:pStyle w:val="ListBullet"/>
        <w:spacing w:after="60" w:line="259" w:lineRule="auto"/>
      </w:pPr>
      <w:r>
        <w:rPr>
          <w:rFonts w:ascii="Calibri" w:hAnsi="Calibri"/>
        </w:rPr>
        <w:t>Verified publication date</w:t>
      </w:r>
    </w:p>
    <w:p>
      <w:pPr>
        <w:pStyle w:val="ListBullet"/>
        <w:spacing w:after="60" w:line="259" w:lineRule="auto"/>
      </w:pPr>
      <w:r>
        <w:rPr>
          <w:rFonts w:ascii="Calibri" w:hAnsi="Calibri"/>
        </w:rPr>
        <w:t>Direct article page</w:t>
      </w:r>
    </w:p>
    <w:p>
      <w:pPr>
        <w:pStyle w:val="ListBullet"/>
        <w:spacing w:after="60" w:line="259" w:lineRule="auto"/>
      </w:pPr>
      <w:r>
        <w:rPr>
          <w:rFonts w:ascii="Calibri" w:hAnsi="Calibri"/>
        </w:rPr>
        <w:t>Source-outlet match</w:t>
      </w:r>
    </w:p>
    <w:p>
      <w:pPr>
        <w:pStyle w:val="ListBullet"/>
        <w:spacing w:after="60" w:line="259" w:lineRule="auto"/>
      </w:pPr>
      <w:r>
        <w:rPr>
          <w:rFonts w:ascii="Calibri" w:hAnsi="Calibri"/>
        </w:rPr>
        <w:t>Headline-content match</w:t>
      </w:r>
    </w:p>
    <w:p>
      <w:pPr>
        <w:pStyle w:val="ListBullet"/>
        <w:spacing w:after="60" w:line="259" w:lineRule="auto"/>
      </w:pPr>
      <w:r>
        <w:rPr>
          <w:rFonts w:ascii="Calibri" w:hAnsi="Calibri"/>
        </w:rPr>
        <w:t>Correct language marker</w:t>
      </w:r>
    </w:p>
    <w:p>
      <w:pPr>
        <w:pStyle w:val="ListBullet"/>
        <w:spacing w:after="60" w:line="259" w:lineRule="auto"/>
      </w:pPr>
      <w:r>
        <w:rPr>
          <w:rFonts w:ascii="Calibri" w:hAnsi="Calibri"/>
        </w:rPr>
        <w:t>Correct section/subsection</w:t>
      </w:r>
    </w:p>
    <w:p>
      <w:pPr>
        <w:pStyle w:val="ListBullet"/>
        <w:spacing w:after="60" w:line="259" w:lineRule="auto"/>
      </w:pPr>
      <w:r>
        <w:rPr>
          <w:rFonts w:ascii="Calibri" w:hAnsi="Calibri"/>
        </w:rPr>
        <w:t>Correct institutional title where used</w:t>
      </w:r>
    </w:p>
    <w:p>
      <w:pPr>
        <w:pStyle w:val="ListBullet"/>
        <w:spacing w:after="60" w:line="259" w:lineRule="auto"/>
      </w:pPr>
      <w:r>
        <w:rPr>
          <w:rFonts w:ascii="Calibri" w:hAnsi="Calibri"/>
        </w:rPr>
        <w:t>Hyperlink attached to correct source text</w:t>
      </w:r>
    </w:p>
    <w:p>
      <w:pPr>
        <w:pStyle w:val="Heading1"/>
        <w:keepNext/>
        <w:pBdr>
          <w:bottom w:val="single" w:sz="8" w:space="4" w:color="D9E2E8"/>
        </w:pBdr>
      </w:pPr>
      <w:r>
        <w:rPr>
          <w:rFonts w:ascii="Calibri" w:hAnsi="Calibri"/>
        </w:rPr>
        <w:t>15. Final quality-control checklist</w:t>
      </w:r>
    </w:p>
    <w:p>
      <w:pPr>
        <w:pStyle w:val="ListBullet"/>
        <w:spacing w:after="60"/>
      </w:pPr>
      <w:r>
        <w:rPr>
          <w:rFonts w:ascii="Segoe UI Symbol" w:hAnsi="Segoe UI Symbol"/>
        </w:rPr>
        <w:t xml:space="preserve">☐ </w:t>
      </w:r>
      <w:r>
        <w:rPr>
          <w:rFonts w:ascii="Calibri" w:hAnsi="Calibri"/>
        </w:rPr>
        <w:t>Coverage dates in title and audit table are correct.</w:t>
      </w:r>
    </w:p>
    <w:p>
      <w:pPr>
        <w:pStyle w:val="ListBullet"/>
        <w:spacing w:after="60"/>
      </w:pPr>
      <w:r>
        <w:rPr>
          <w:rFonts w:ascii="Segoe UI Symbol" w:hAnsi="Segoe UI Symbol"/>
        </w:rPr>
        <w:t xml:space="preserve">☐ </w:t>
      </w:r>
      <w:r>
        <w:rPr>
          <w:rFonts w:ascii="Calibri" w:hAnsi="Calibri"/>
        </w:rPr>
        <w:t>All valid in-window candidates are accounted for.</w:t>
      </w:r>
    </w:p>
    <w:p>
      <w:pPr>
        <w:pStyle w:val="ListBullet"/>
        <w:spacing w:after="60"/>
      </w:pPr>
      <w:r>
        <w:rPr>
          <w:rFonts w:ascii="Segoe UI Symbol" w:hAnsi="Segoe UI Symbol"/>
        </w:rPr>
        <w:t xml:space="preserve">☐ </w:t>
      </w:r>
      <w:r>
        <w:rPr>
          <w:rFonts w:ascii="Calibri" w:hAnsi="Calibri"/>
        </w:rPr>
        <w:t>Every distinct UN-related article/framing remains visible.</w:t>
      </w:r>
    </w:p>
    <w:p>
      <w:pPr>
        <w:pStyle w:val="ListBullet"/>
        <w:spacing w:after="60"/>
      </w:pPr>
      <w:r>
        <w:rPr>
          <w:rFonts w:ascii="Segoe UI Symbol" w:hAnsi="Segoe UI Symbol"/>
        </w:rPr>
        <w:t xml:space="preserve">☐ </w:t>
      </w:r>
      <w:r>
        <w:rPr>
          <w:rFonts w:ascii="Calibri" w:hAnsi="Calibri"/>
        </w:rPr>
        <w:t>No non-UN story was merged with a materially different statement or angle.</w:t>
      </w:r>
    </w:p>
    <w:p>
      <w:pPr>
        <w:pStyle w:val="ListBullet"/>
        <w:spacing w:after="60"/>
      </w:pPr>
      <w:r>
        <w:rPr>
          <w:rFonts w:ascii="Segoe UI Symbol" w:hAnsi="Segoe UI Symbol"/>
        </w:rPr>
        <w:t xml:space="preserve">☐ </w:t>
      </w:r>
      <w:r>
        <w:rPr>
          <w:rFonts w:ascii="Calibri" w:hAnsi="Calibri"/>
        </w:rPr>
        <w:t>No article outside the date range was included without explicit reason.</w:t>
      </w:r>
    </w:p>
    <w:p>
      <w:pPr>
        <w:pStyle w:val="ListBullet"/>
        <w:spacing w:after="60"/>
      </w:pPr>
      <w:r>
        <w:rPr>
          <w:rFonts w:ascii="Segoe UI Symbol" w:hAnsi="Segoe UI Symbol"/>
        </w:rPr>
        <w:t xml:space="preserve">☐ </w:t>
      </w:r>
      <w:r>
        <w:rPr>
          <w:rFonts w:ascii="Calibri" w:hAnsi="Calibri"/>
        </w:rPr>
        <w:t>Every English headline matches the linked article.</w:t>
      </w:r>
    </w:p>
    <w:p>
      <w:pPr>
        <w:pStyle w:val="ListBullet"/>
        <w:spacing w:after="60"/>
      </w:pPr>
      <w:r>
        <w:rPr>
          <w:rFonts w:ascii="Segoe UI Symbol" w:hAnsi="Segoe UI Symbol"/>
        </w:rPr>
        <w:t xml:space="preserve">☐ </w:t>
      </w:r>
      <w:r>
        <w:rPr>
          <w:rFonts w:ascii="Calibri" w:hAnsi="Calibri"/>
        </w:rPr>
        <w:t>Names, figures, locations and institutional roles are verified.</w:t>
      </w:r>
    </w:p>
    <w:p>
      <w:pPr>
        <w:pStyle w:val="ListBullet"/>
        <w:spacing w:after="60"/>
      </w:pPr>
      <w:r>
        <w:rPr>
          <w:rFonts w:ascii="Segoe UI Symbol" w:hAnsi="Segoe UI Symbol"/>
        </w:rPr>
        <w:t xml:space="preserve">☐ </w:t>
      </w:r>
      <w:r>
        <w:rPr>
          <w:rFonts w:ascii="Calibri" w:hAnsi="Calibri"/>
        </w:rPr>
        <w:t>Main sections appear in the required order.</w:t>
      </w:r>
    </w:p>
    <w:p>
      <w:pPr>
        <w:pStyle w:val="ListBullet"/>
        <w:spacing w:after="60"/>
      </w:pPr>
      <w:r>
        <w:rPr>
          <w:rFonts w:ascii="Segoe UI Symbol" w:hAnsi="Segoe UI Symbol"/>
        </w:rPr>
        <w:t xml:space="preserve">☐ </w:t>
      </w:r>
      <w:r>
        <w:rPr>
          <w:rFonts w:ascii="Calibri" w:hAnsi="Calibri"/>
        </w:rPr>
        <w:t>Subsections are event-based, useful and non-empty.</w:t>
      </w:r>
    </w:p>
    <w:p>
      <w:pPr>
        <w:pStyle w:val="ListBullet"/>
        <w:spacing w:after="60"/>
      </w:pPr>
      <w:r>
        <w:rPr>
          <w:rFonts w:ascii="Segoe UI Symbol" w:hAnsi="Segoe UI Symbol"/>
        </w:rPr>
        <w:t xml:space="preserve">☐ </w:t>
      </w:r>
      <w:r>
        <w:rPr>
          <w:rFonts w:ascii="Calibri" w:hAnsi="Calibri"/>
        </w:rPr>
        <w:t>No generic AI bracket labels remain.</w:t>
      </w:r>
    </w:p>
    <w:p>
      <w:pPr>
        <w:pStyle w:val="ListBullet"/>
        <w:spacing w:after="60"/>
      </w:pPr>
      <w:r>
        <w:rPr>
          <w:rFonts w:ascii="Segoe UI Symbol" w:hAnsi="Segoe UI Symbol"/>
        </w:rPr>
        <w:t xml:space="preserve">☐ </w:t>
      </w:r>
      <w:r>
        <w:rPr>
          <w:rFonts w:ascii="Calibri" w:hAnsi="Calibri"/>
        </w:rPr>
        <w:t>Every source name is a direct Word-native hyperlink.</w:t>
      </w:r>
    </w:p>
    <w:p>
      <w:pPr>
        <w:pStyle w:val="ListBullet"/>
        <w:spacing w:after="60"/>
      </w:pPr>
      <w:r>
        <w:rPr>
          <w:rFonts w:ascii="Segoe UI Symbol" w:hAnsi="Segoe UI Symbol"/>
        </w:rPr>
        <w:t xml:space="preserve">☐ </w:t>
      </w:r>
      <w:r>
        <w:rPr>
          <w:rFonts w:ascii="Calibri" w:hAnsi="Calibri"/>
        </w:rPr>
        <w:t>Hyperlink colour is #467886 and language markers remain black.</w:t>
      </w:r>
    </w:p>
    <w:p>
      <w:pPr>
        <w:pStyle w:val="ListBullet"/>
        <w:spacing w:after="60"/>
      </w:pPr>
      <w:r>
        <w:rPr>
          <w:rFonts w:ascii="Segoe UI Symbol" w:hAnsi="Segoe UI Symbol"/>
        </w:rPr>
        <w:t xml:space="preserve">☐ </w:t>
      </w:r>
      <w:r>
        <w:rPr>
          <w:rFonts w:ascii="Calibri" w:hAnsi="Calibri"/>
        </w:rPr>
        <w:t>No raw URLs, redirect links, duplicate source names or missing separators remain.</w:t>
      </w:r>
    </w:p>
    <w:p>
      <w:pPr>
        <w:pStyle w:val="ListBullet"/>
        <w:spacing w:after="60"/>
      </w:pPr>
      <w:r>
        <w:rPr>
          <w:rFonts w:ascii="Segoe UI Symbol" w:hAnsi="Segoe UI Symbol"/>
        </w:rPr>
        <w:t xml:space="preserve">☐ </w:t>
      </w:r>
      <w:r>
        <w:rPr>
          <w:rFonts w:ascii="Calibri" w:hAnsi="Calibri"/>
        </w:rPr>
        <w:t>Title, fonts, spacing, bullets, margins and disclaimer match the current benchmark.</w:t>
      </w:r>
    </w:p>
    <w:p>
      <w:pPr>
        <w:pStyle w:val="ListBullet"/>
        <w:spacing w:after="60"/>
      </w:pPr>
      <w:r>
        <w:rPr>
          <w:rFonts w:ascii="Segoe UI Symbol" w:hAnsi="Segoe UI Symbol"/>
        </w:rPr>
        <w:t xml:space="preserve">☐ </w:t>
      </w:r>
      <w:r>
        <w:rPr>
          <w:rFonts w:ascii="Calibri" w:hAnsi="Calibri"/>
        </w:rPr>
        <w:t>Varieties labels and summaries are appropriate.</w:t>
      </w:r>
    </w:p>
    <w:p>
      <w:pPr>
        <w:pStyle w:val="ListBullet"/>
        <w:spacing w:after="60"/>
      </w:pPr>
      <w:r>
        <w:rPr>
          <w:rFonts w:ascii="Segoe UI Symbol" w:hAnsi="Segoe UI Symbol"/>
        </w:rPr>
        <w:t xml:space="preserve">☐ </w:t>
      </w:r>
      <w:r>
        <w:rPr>
          <w:rFonts w:ascii="Calibri" w:hAnsi="Calibri"/>
        </w:rPr>
        <w:t>The DOCX has been rendered and every page inspected for clipping, spacing, broken bullets and hyperlink appearance.</w:t>
      </w:r>
    </w:p>
    <w:p>
      <w:pPr>
        <w:pStyle w:val="Heading1"/>
        <w:keepNext/>
        <w:pBdr>
          <w:bottom w:val="single" w:sz="8" w:space="4" w:color="D9E2E8"/>
        </w:pBdr>
      </w:pPr>
      <w:r>
        <w:rPr>
          <w:rFonts w:ascii="Calibri" w:hAnsi="Calibri"/>
        </w:rPr>
        <w:t>16. Common failure patterns and required correction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F4CCCC"/>
          </w:tcPr>
          <w:p>
            <w:r>
              <w:rPr>
                <w:b/>
              </w:rPr>
              <w:t>Failure</w:t>
            </w:r>
          </w:p>
        </w:tc>
        <w:tc>
          <w:tcPr>
            <w:tcW w:type="dxa" w:w="4997"/>
            <w:shd w:fill="F4CCCC"/>
          </w:tcPr>
          <w:p>
            <w:r>
              <w:rPr>
                <w:b/>
              </w:rPr>
              <w:t>Required correction</w:t>
            </w:r>
          </w:p>
        </w:tc>
      </w:tr>
      <w:tr>
        <w:trPr>
          <w:cantSplit/>
        </w:trPr>
        <w:tc>
          <w:tcPr>
            <w:tcW w:type="dxa" w:w="4997"/>
            <w:tcMar>
              <w:top w:w="75" w:type="dxa"/>
              <w:start w:w="95" w:type="dxa"/>
              <w:bottom w:w="75" w:type="dxa"/>
              <w:end w:w="95" w:type="dxa"/>
            </w:tcMar>
          </w:tcPr>
          <w:p>
            <w:r>
              <w:t>Formatting-only edit</w:t>
            </w:r>
          </w:p>
        </w:tc>
        <w:tc>
          <w:tcPr>
            <w:tcW w:type="dxa" w:w="4997"/>
            <w:tcMar>
              <w:top w:w="75" w:type="dxa"/>
              <w:start w:w="95" w:type="dxa"/>
              <w:bottom w:w="75" w:type="dxa"/>
              <w:end w:w="95" w:type="dxa"/>
            </w:tcMar>
          </w:tcPr>
          <w:p>
            <w:r>
              <w:t>A report can look clean while remaining structurally wrong. Rebuild classification and headline logic before styling.</w:t>
            </w:r>
          </w:p>
        </w:tc>
      </w:tr>
      <w:tr>
        <w:trPr>
          <w:cantSplit/>
        </w:trPr>
        <w:tc>
          <w:tcPr>
            <w:tcW w:type="dxa" w:w="4997"/>
            <w:tcMar>
              <w:top w:w="75" w:type="dxa"/>
              <w:start w:w="95" w:type="dxa"/>
              <w:bottom w:w="75" w:type="dxa"/>
              <w:end w:w="95" w:type="dxa"/>
            </w:tcMar>
          </w:tcPr>
          <w:p>
            <w:r>
              <w:t>Over-merging</w:t>
            </w:r>
          </w:p>
        </w:tc>
        <w:tc>
          <w:tcPr>
            <w:tcW w:type="dxa" w:w="4997"/>
            <w:tcMar>
              <w:top w:w="75" w:type="dxa"/>
              <w:start w:w="95" w:type="dxa"/>
              <w:bottom w:w="75" w:type="dxa"/>
              <w:end w:w="95" w:type="dxa"/>
            </w:tcMar>
          </w:tcPr>
          <w:p>
            <w:r>
              <w:t>Do not compress many sources into one vague sentence. Preserve distinct facts and all protected UN coverage.</w:t>
            </w:r>
          </w:p>
        </w:tc>
      </w:tr>
      <w:tr>
        <w:trPr>
          <w:cantSplit/>
        </w:trPr>
        <w:tc>
          <w:tcPr>
            <w:tcW w:type="dxa" w:w="4997"/>
            <w:tcMar>
              <w:top w:w="75" w:type="dxa"/>
              <w:start w:w="95" w:type="dxa"/>
              <w:bottom w:w="75" w:type="dxa"/>
              <w:end w:w="95" w:type="dxa"/>
            </w:tcMar>
          </w:tcPr>
          <w:p>
            <w:r>
              <w:t>Missing news after deduplication</w:t>
            </w:r>
          </w:p>
        </w:tc>
        <w:tc>
          <w:tcPr>
            <w:tcW w:type="dxa" w:w="4997"/>
            <w:tcMar>
              <w:top w:w="75" w:type="dxa"/>
              <w:start w:w="95" w:type="dxa"/>
              <w:bottom w:w="75" w:type="dxa"/>
              <w:end w:w="95" w:type="dxa"/>
            </w:tcMar>
          </w:tcPr>
          <w:p>
            <w:r>
              <w:t>Reconcile every input record and investigate unexplained reductions.</w:t>
            </w:r>
          </w:p>
        </w:tc>
      </w:tr>
      <w:tr>
        <w:trPr>
          <w:cantSplit/>
        </w:trPr>
        <w:tc>
          <w:tcPr>
            <w:tcW w:type="dxa" w:w="4997"/>
            <w:tcMar>
              <w:top w:w="75" w:type="dxa"/>
              <w:start w:w="95" w:type="dxa"/>
              <w:bottom w:w="75" w:type="dxa"/>
              <w:end w:w="95" w:type="dxa"/>
            </w:tcMar>
          </w:tcPr>
          <w:p>
            <w:r>
              <w:t>Using scraped titles without opening links</w:t>
            </w:r>
          </w:p>
        </w:tc>
        <w:tc>
          <w:tcPr>
            <w:tcW w:type="dxa" w:w="4997"/>
            <w:tcMar>
              <w:top w:w="75" w:type="dxa"/>
              <w:start w:w="95" w:type="dxa"/>
              <w:bottom w:w="75" w:type="dxa"/>
              <w:end w:w="95" w:type="dxa"/>
            </w:tcMar>
          </w:tcPr>
          <w:p>
            <w:r>
              <w:t>Open and verify the article; search snippets and redirects are insufficient.</w:t>
            </w:r>
          </w:p>
        </w:tc>
      </w:tr>
      <w:tr>
        <w:trPr>
          <w:cantSplit/>
        </w:trPr>
        <w:tc>
          <w:tcPr>
            <w:tcW w:type="dxa" w:w="4997"/>
            <w:tcMar>
              <w:top w:w="75" w:type="dxa"/>
              <w:start w:w="95" w:type="dxa"/>
              <w:bottom w:w="75" w:type="dxa"/>
              <w:end w:w="95" w:type="dxa"/>
            </w:tcMar>
          </w:tcPr>
          <w:p>
            <w:r>
              <w:t>Generic bracket labels</w:t>
            </w:r>
          </w:p>
        </w:tc>
        <w:tc>
          <w:tcPr>
            <w:tcW w:type="dxa" w:w="4997"/>
            <w:tcMar>
              <w:top w:w="75" w:type="dxa"/>
              <w:start w:w="95" w:type="dxa"/>
              <w:bottom w:w="75" w:type="dxa"/>
              <w:end w:w="95" w:type="dxa"/>
            </w:tcMar>
          </w:tcPr>
          <w:p>
            <w:r>
              <w:t>Replace category tags with the verified person, institution or factual subject.</w:t>
            </w:r>
          </w:p>
        </w:tc>
      </w:tr>
      <w:tr>
        <w:trPr>
          <w:cantSplit/>
        </w:trPr>
        <w:tc>
          <w:tcPr>
            <w:tcW w:type="dxa" w:w="4997"/>
            <w:tcMar>
              <w:top w:w="75" w:type="dxa"/>
              <w:start w:w="95" w:type="dxa"/>
              <w:bottom w:w="75" w:type="dxa"/>
              <w:end w:w="95" w:type="dxa"/>
            </w:tcMar>
          </w:tcPr>
          <w:p>
            <w:r>
              <w:t>Wrong section placement</w:t>
            </w:r>
          </w:p>
        </w:tc>
        <w:tc>
          <w:tcPr>
            <w:tcW w:type="dxa" w:w="4997"/>
            <w:tcMar>
              <w:top w:w="75" w:type="dxa"/>
              <w:start w:w="95" w:type="dxa"/>
              <w:bottom w:w="75" w:type="dxa"/>
              <w:end w:w="95" w:type="dxa"/>
            </w:tcMar>
          </w:tcPr>
          <w:p>
            <w:r>
              <w:t>Apply the primary-subject test, not keyword matching.</w:t>
            </w:r>
          </w:p>
        </w:tc>
      </w:tr>
      <w:tr>
        <w:trPr>
          <w:cantSplit/>
        </w:trPr>
        <w:tc>
          <w:tcPr>
            <w:tcW w:type="dxa" w:w="4997"/>
            <w:tcMar>
              <w:top w:w="75" w:type="dxa"/>
              <w:start w:w="95" w:type="dxa"/>
              <w:bottom w:w="75" w:type="dxa"/>
              <w:end w:w="95" w:type="dxa"/>
            </w:tcMar>
          </w:tcPr>
          <w:p>
            <w:r>
              <w:t>Incorrect source language label</w:t>
            </w:r>
          </w:p>
        </w:tc>
        <w:tc>
          <w:tcPr>
            <w:tcW w:type="dxa" w:w="4997"/>
            <w:tcMar>
              <w:top w:w="75" w:type="dxa"/>
              <w:start w:w="95" w:type="dxa"/>
              <w:bottom w:w="75" w:type="dxa"/>
              <w:end w:w="95" w:type="dxa"/>
            </w:tcMar>
          </w:tcPr>
          <w:p>
            <w:r>
              <w:t>Mark Arabic-language articles “(Arabic)”; do not mark English sources “(English)”.</w:t>
            </w:r>
          </w:p>
        </w:tc>
      </w:tr>
      <w:tr>
        <w:trPr>
          <w:cantSplit/>
        </w:trPr>
        <w:tc>
          <w:tcPr>
            <w:tcW w:type="dxa" w:w="4997"/>
            <w:tcMar>
              <w:top w:w="75" w:type="dxa"/>
              <w:start w:w="95" w:type="dxa"/>
              <w:bottom w:w="75" w:type="dxa"/>
              <w:end w:w="95" w:type="dxa"/>
            </w:tcMar>
          </w:tcPr>
          <w:p>
            <w:r>
              <w:t>Hyperlink colour mismatch</w:t>
            </w:r>
          </w:p>
        </w:tc>
        <w:tc>
          <w:tcPr>
            <w:tcW w:type="dxa" w:w="4997"/>
            <w:tcMar>
              <w:top w:w="75" w:type="dxa"/>
              <w:start w:w="95" w:type="dxa"/>
              <w:bottom w:w="75" w:type="dxa"/>
              <w:end w:w="95" w:type="dxa"/>
            </w:tcMar>
          </w:tcPr>
          <w:p>
            <w:r>
              <w:t>Use the exact #467886 underlined source-only style.</w:t>
            </w:r>
          </w:p>
        </w:tc>
      </w:tr>
      <w:tr>
        <w:trPr>
          <w:cantSplit/>
        </w:trPr>
        <w:tc>
          <w:tcPr>
            <w:tcW w:type="dxa" w:w="4997"/>
            <w:tcMar>
              <w:top w:w="75" w:type="dxa"/>
              <w:start w:w="95" w:type="dxa"/>
              <w:bottom w:w="75" w:type="dxa"/>
              <w:end w:w="95" w:type="dxa"/>
            </w:tcMar>
          </w:tcPr>
          <w:p>
            <w:r>
              <w:t>Outdated disclaimer</w:t>
            </w:r>
          </w:p>
        </w:tc>
        <w:tc>
          <w:tcPr>
            <w:tcW w:type="dxa" w:w="4997"/>
            <w:tcMar>
              <w:top w:w="75" w:type="dxa"/>
              <w:start w:w="95" w:type="dxa"/>
              <w:bottom w:w="75" w:type="dxa"/>
              <w:end w:w="95" w:type="dxa"/>
            </w:tcMar>
          </w:tcPr>
          <w:p>
            <w:r>
              <w:t>Use the exact PICS disclaimer, not a generic media-monitoring disclaimer.</w:t>
            </w:r>
          </w:p>
        </w:tc>
      </w:tr>
      <w:tr>
        <w:trPr>
          <w:cantSplit/>
        </w:trPr>
        <w:tc>
          <w:tcPr>
            <w:tcW w:type="dxa" w:w="4997"/>
            <w:tcMar>
              <w:top w:w="75" w:type="dxa"/>
              <w:start w:w="95" w:type="dxa"/>
              <w:bottom w:w="75" w:type="dxa"/>
              <w:end w:w="95" w:type="dxa"/>
            </w:tcMar>
          </w:tcPr>
          <w:p>
            <w:r>
              <w:t>No visual QA</w:t>
            </w:r>
          </w:p>
        </w:tc>
        <w:tc>
          <w:tcPr>
            <w:tcW w:type="dxa" w:w="4997"/>
            <w:tcMar>
              <w:top w:w="75" w:type="dxa"/>
              <w:start w:w="95" w:type="dxa"/>
              <w:bottom w:w="75" w:type="dxa"/>
              <w:end w:w="95" w:type="dxa"/>
            </w:tcMar>
          </w:tcPr>
          <w:p>
            <w:r>
              <w:t>Render and inspect all pages before delivery.</w:t>
            </w:r>
          </w:p>
        </w:tc>
      </w:tr>
    </w:tbl>
    <w:p>
      <w:pPr>
        <w:pStyle w:val="Heading1"/>
        <w:keepNext/>
        <w:pBdr>
          <w:bottom w:val="single" w:sz="8" w:space="4" w:color="D9E2E8"/>
        </w:pBdr>
      </w:pPr>
      <w:r>
        <w:rPr>
          <w:rFonts w:ascii="Calibri" w:hAnsi="Calibri"/>
        </w:rPr>
        <w:t>17. Editorial decision tree</w:t>
      </w:r>
    </w:p>
    <w:p>
      <w:pPr>
        <w:spacing w:after="60" w:line="259" w:lineRule="auto"/>
        <w:ind w:left="240" w:hanging="240"/>
      </w:pPr>
      <w:r>
        <w:t>1. Is the URL a direct, verifiable article page from the current approved source universe? If no, resolve or exclude.</w:t>
      </w:r>
    </w:p>
    <w:p>
      <w:pPr>
        <w:spacing w:after="60" w:line="259" w:lineRule="auto"/>
        <w:ind w:left="240" w:hanging="240"/>
      </w:pPr>
      <w:r>
        <w:t>2. Is the publication date inside the requested window? If no, exclude unless explicitly authorised.</w:t>
      </w:r>
    </w:p>
    <w:p>
      <w:pPr>
        <w:spacing w:after="60" w:line="259" w:lineRule="auto"/>
        <w:ind w:left="240" w:hanging="240"/>
      </w:pPr>
      <w:r>
        <w:t>3. Is the article substantively about Libya? If no, exclude.</w:t>
      </w:r>
    </w:p>
    <w:p>
      <w:pPr>
        <w:spacing w:after="60" w:line="259" w:lineRule="auto"/>
        <w:ind w:left="240" w:hanging="240"/>
      </w:pPr>
      <w:r>
        <w:t>4. Is it UN-related? If yes, protect it from ordinary deduplication and retain each distinct article/framing as a separate bullet.</w:t>
      </w:r>
    </w:p>
    <w:p>
      <w:pPr>
        <w:spacing w:after="60" w:line="259" w:lineRule="auto"/>
        <w:ind w:left="240" w:hanging="240"/>
      </w:pPr>
      <w:r>
        <w:t>5. If non-UN, does another article report exactly the same fact and framing? If yes, consolidate sources; if no, keep separate.</w:t>
      </w:r>
    </w:p>
    <w:p>
      <w:pPr>
        <w:spacing w:after="60" w:line="259" w:lineRule="auto"/>
        <w:ind w:left="240" w:hanging="240"/>
      </w:pPr>
      <w:r>
        <w:t>6. What is the article’s primary subject? Use it to assign the main section and event-based subsection.</w:t>
      </w:r>
    </w:p>
    <w:p>
      <w:pPr>
        <w:spacing w:after="60" w:line="259" w:lineRule="auto"/>
        <w:ind w:left="240" w:hanging="240"/>
      </w:pPr>
      <w:r>
        <w:t>7. Does the headline accurately preserve attribution, certainty, numbers and official roles? If no, rewrite.</w:t>
      </w:r>
    </w:p>
    <w:p>
      <w:pPr>
        <w:spacing w:after="60" w:line="259" w:lineRule="auto"/>
        <w:ind w:left="240" w:hanging="240"/>
      </w:pPr>
      <w:r>
        <w:t>8. Are all source names directly linked and styled correctly? If no, repair before finalisation.</w:t>
      </w:r>
    </w:p>
    <w:p>
      <w:pPr>
        <w:spacing w:after="60" w:line="259" w:lineRule="auto"/>
        <w:ind w:left="240" w:hanging="240"/>
      </w:pPr>
      <w:r>
        <w:t>9. Does the rendered page visually match the benchmark? If no, revise and re-render.</w:t>
      </w:r>
    </w:p>
    <w:p>
      <w:pPr>
        <w:pStyle w:val="Heading1"/>
        <w:keepNext/>
        <w:pBdr>
          <w:bottom w:val="single" w:sz="8" w:space="4" w:color="D9E2E8"/>
        </w:pBdr>
      </w:pPr>
      <w:r>
        <w:rPr>
          <w:rFonts w:ascii="Calibri" w:hAnsi="Calibri"/>
        </w:rPr>
        <w:t>18. Reusable execution instruction</w:t>
      </w:r>
    </w:p>
    <w:p>
      <w:pPr>
        <w:pStyle w:val="Rule"/>
      </w:pPr>
      <w:r>
        <w:rPr>
          <w:rFonts w:ascii="Calibri" w:hAnsi="Calibri"/>
        </w:rPr>
        <w:t>The following instruction can be used as the controlling internal brief for future enhancement tasks:</w:t>
      </w:r>
    </w:p>
    <w:tbl>
      <w:tblPr>
        <w:tblStyle w:val="TableGrid"/>
        <w:tblW w:type="auto" w:w="0"/>
        <w:jc w:val="center"/>
        <w:tblLook w:firstColumn="1" w:firstRow="1" w:lastColumn="0" w:lastRow="0" w:noHBand="0" w:noVBand="1" w:val="04A0"/>
      </w:tblPr>
      <w:tblGrid>
        <w:gridCol w:w="9994"/>
      </w:tblGrid>
      <w:tr>
        <w:trPr>
          <w:cantSplit/>
        </w:trPr>
        <w:tc>
          <w:tcPr>
            <w:tcW w:type="dxa" w:w="9994"/>
            <w:shd w:fill="F2F6F8"/>
            <w:tcMar>
              <w:top w:w="140" w:type="dxa"/>
              <w:start w:w="160" w:type="dxa"/>
              <w:bottom w:w="140" w:type="dxa"/>
              <w:end w:w="160" w:type="dxa"/>
            </w:tcMar>
          </w:tcPr>
          <w:p>
            <w:r>
              <w:t>Enhance the supplied Libya News Headlines report using the PICS Master SOP and the June 2026 benchmark set. Verify every direct article link, publication date, source, language and factual headline. Preserve every distinct UN-related article or framing as a separate bullet. Consolidate only materially identical non-UN coverage. Use verified bracketed roles for named individuals, dynamic event-based subsections, the fixed eight-section order, British English and source-faithful neutral headlines. Apply Letter size, one-inch margins, Calibri 12 body, Impact 14 main headings, current Word-native bullets, exact #467886 source-only hyperlinks and the official PICS disclaimer. Reconcile all input records, render the final DOCX and inspect every page before delivery.</w:t>
            </w:r>
          </w:p>
        </w:tc>
      </w:tr>
    </w:tbl>
    <w:p>
      <w:pPr>
        <w:pStyle w:val="Heading1"/>
        <w:keepNext/>
        <w:pBdr>
          <w:bottom w:val="single" w:sz="8" w:space="4" w:color="D9E2E8"/>
        </w:pBdr>
      </w:pPr>
      <w:r>
        <w:rPr>
          <w:rFonts w:ascii="Calibri" w:hAnsi="Calibri"/>
        </w:rPr>
        <w:t>Appendix A. Benchmark interpretation notes</w:t>
      </w:r>
    </w:p>
    <w:p>
      <w:pPr>
        <w:pStyle w:val="ListBullet"/>
        <w:spacing w:after="60" w:line="259" w:lineRule="auto"/>
      </w:pPr>
      <w:r>
        <w:rPr>
          <w:rFonts w:ascii="Calibri" w:hAnsi="Calibri"/>
        </w:rPr>
        <w:t>The June samples contain occasional typographical errors, duplicated sources, placeholders and inconsistent underlining. These are evidence of workflow evolution, not instructions to reproduce mistakes.</w:t>
      </w:r>
    </w:p>
    <w:p>
      <w:pPr>
        <w:pStyle w:val="ListBullet"/>
        <w:spacing w:after="60" w:line="259" w:lineRule="auto"/>
      </w:pPr>
      <w:r>
        <w:rPr>
          <w:rFonts w:ascii="Calibri" w:hAnsi="Calibri"/>
        </w:rPr>
        <w:t>20260621 is the current layout authority because it introduces the modern bullet structure and hyperlink presentation. Earlier reports remain useful for subject classification and editorial examples.</w:t>
      </w:r>
    </w:p>
    <w:p>
      <w:pPr>
        <w:pStyle w:val="ListBullet"/>
        <w:spacing w:after="60" w:line="259" w:lineRule="auto"/>
      </w:pPr>
      <w:r>
        <w:rPr>
          <w:rFonts w:ascii="Calibri" w:hAnsi="Calibri"/>
        </w:rPr>
        <w:t>The user’s later instruction on UN coverage supersedes older duplicate-merging habits: no valid UN article should disappear because another outlet covered the same event.</w:t>
      </w:r>
    </w:p>
    <w:p>
      <w:pPr>
        <w:pStyle w:val="ListBullet"/>
        <w:spacing w:after="60" w:line="259" w:lineRule="auto"/>
      </w:pPr>
      <w:r>
        <w:rPr>
          <w:rFonts w:ascii="Calibri" w:hAnsi="Calibri"/>
        </w:rPr>
        <w:t>The source universe can evolve. The current workflow’s approved list always overrides the older Annex and historical lists.</w:t>
      </w:r>
    </w:p>
    <w:p>
      <w:pPr>
        <w:pStyle w:val="ListBullet"/>
        <w:spacing w:after="60" w:line="259" w:lineRule="auto"/>
      </w:pPr>
      <w:r>
        <w:rPr>
          <w:rFonts w:ascii="Calibri" w:hAnsi="Calibri"/>
        </w:rPr>
        <w:t>The final report must look human-edited: precise actors, accurate roles, meaningful clustering and no vague synthesis labels.</w:t>
      </w:r>
    </w:p>
    <w:p>
      <w:pPr>
        <w:pStyle w:val="Heading1"/>
        <w:keepNext/>
        <w:pBdr>
          <w:bottom w:val="single" w:sz="8" w:space="4" w:color="D9E2E8"/>
        </w:pBdr>
      </w:pPr>
      <w:r>
        <w:rPr>
          <w:rFonts w:ascii="Calibri" w:hAnsi="Calibri"/>
        </w:rPr>
        <w:t>Appendix B. One-page final check</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tcMar>
              <w:top w:w="110" w:type="dxa"/>
              <w:start w:w="120" w:type="dxa"/>
              <w:bottom w:w="110" w:type="dxa"/>
              <w:end w:w="120" w:type="dxa"/>
            </w:tcMar>
            <w:shd w:fill="F7FAFC"/>
          </w:tcPr>
          <w:p>
            <w:r>
              <w:t>☐ Dates correct and exact</w:t>
            </w:r>
          </w:p>
        </w:tc>
        <w:tc>
          <w:tcPr>
            <w:tcW w:type="dxa" w:w="4997"/>
            <w:tcMar>
              <w:top w:w="110" w:type="dxa"/>
              <w:start w:w="120" w:type="dxa"/>
              <w:bottom w:w="110" w:type="dxa"/>
              <w:end w:w="120" w:type="dxa"/>
            </w:tcMar>
            <w:shd w:fill="F7FAFC"/>
          </w:tcPr>
          <w:p>
            <w:r>
              <w:t>☐ All candidates accounted for</w:t>
            </w:r>
          </w:p>
        </w:tc>
      </w:tr>
      <w:tr>
        <w:trPr>
          <w:cantSplit/>
        </w:trPr>
        <w:tc>
          <w:tcPr>
            <w:tcW w:type="dxa" w:w="4997"/>
            <w:tcMar>
              <w:top w:w="110" w:type="dxa"/>
              <w:start w:w="120" w:type="dxa"/>
              <w:bottom w:w="110" w:type="dxa"/>
              <w:end w:w="120" w:type="dxa"/>
            </w:tcMar>
          </w:tcPr>
          <w:p>
            <w:r>
              <w:t>☐ UN items protected</w:t>
            </w:r>
          </w:p>
        </w:tc>
        <w:tc>
          <w:tcPr>
            <w:tcW w:type="dxa" w:w="4997"/>
            <w:tcMar>
              <w:top w:w="110" w:type="dxa"/>
              <w:start w:w="120" w:type="dxa"/>
              <w:bottom w:w="110" w:type="dxa"/>
              <w:end w:w="120" w:type="dxa"/>
            </w:tcMar>
          </w:tcPr>
          <w:p>
            <w:r>
              <w:t>☐ Non-UN duplicates correctly consolidated</w:t>
            </w:r>
          </w:p>
        </w:tc>
      </w:tr>
      <w:tr>
        <w:trPr>
          <w:cantSplit/>
        </w:trPr>
        <w:tc>
          <w:tcPr>
            <w:tcW w:type="dxa" w:w="4997"/>
            <w:tcMar>
              <w:top w:w="110" w:type="dxa"/>
              <w:start w:w="120" w:type="dxa"/>
              <w:bottom w:w="110" w:type="dxa"/>
              <w:end w:w="120" w:type="dxa"/>
            </w:tcMar>
            <w:shd w:fill="F7FAFC"/>
          </w:tcPr>
          <w:p>
            <w:r>
              <w:t>☐ Headline matches every link</w:t>
            </w:r>
          </w:p>
        </w:tc>
        <w:tc>
          <w:tcPr>
            <w:tcW w:type="dxa" w:w="4997"/>
            <w:tcMar>
              <w:top w:w="110" w:type="dxa"/>
              <w:start w:w="120" w:type="dxa"/>
              <w:bottom w:w="110" w:type="dxa"/>
              <w:end w:w="120" w:type="dxa"/>
            </w:tcMar>
            <w:shd w:fill="F7FAFC"/>
          </w:tcPr>
          <w:p>
            <w:r>
              <w:t>☐ Roles verified</w:t>
            </w:r>
          </w:p>
        </w:tc>
      </w:tr>
      <w:tr>
        <w:trPr>
          <w:cantSplit/>
        </w:trPr>
        <w:tc>
          <w:tcPr>
            <w:tcW w:type="dxa" w:w="4997"/>
            <w:tcMar>
              <w:top w:w="110" w:type="dxa"/>
              <w:start w:w="120" w:type="dxa"/>
              <w:bottom w:w="110" w:type="dxa"/>
              <w:end w:w="120" w:type="dxa"/>
            </w:tcMar>
          </w:tcPr>
          <w:p>
            <w:r>
              <w:t>☐ Sections in order</w:t>
            </w:r>
          </w:p>
        </w:tc>
        <w:tc>
          <w:tcPr>
            <w:tcW w:type="dxa" w:w="4997"/>
            <w:tcMar>
              <w:top w:w="110" w:type="dxa"/>
              <w:start w:w="120" w:type="dxa"/>
              <w:bottom w:w="110" w:type="dxa"/>
              <w:end w:w="120" w:type="dxa"/>
            </w:tcMar>
          </w:tcPr>
          <w:p>
            <w:r>
              <w:t>☐ Subsections meaningful</w:t>
            </w:r>
          </w:p>
        </w:tc>
      </w:tr>
      <w:tr>
        <w:trPr>
          <w:cantSplit/>
        </w:trPr>
        <w:tc>
          <w:tcPr>
            <w:tcW w:type="dxa" w:w="4997"/>
            <w:tcMar>
              <w:top w:w="110" w:type="dxa"/>
              <w:start w:w="120" w:type="dxa"/>
              <w:bottom w:w="110" w:type="dxa"/>
              <w:end w:w="120" w:type="dxa"/>
            </w:tcMar>
            <w:shd w:fill="F7FAFC"/>
          </w:tcPr>
          <w:p>
            <w:r>
              <w:t>☐ Direct hyperlinks only</w:t>
            </w:r>
          </w:p>
        </w:tc>
        <w:tc>
          <w:tcPr>
            <w:tcW w:type="dxa" w:w="4997"/>
            <w:tcMar>
              <w:top w:w="110" w:type="dxa"/>
              <w:start w:w="120" w:type="dxa"/>
              <w:bottom w:w="110" w:type="dxa"/>
              <w:end w:w="120" w:type="dxa"/>
            </w:tcMar>
            <w:shd w:fill="F7FAFC"/>
          </w:tcPr>
          <w:p>
            <w:r>
              <w:t>☐ #467886 source style</w:t>
            </w:r>
          </w:p>
        </w:tc>
      </w:tr>
      <w:tr>
        <w:trPr>
          <w:cantSplit/>
        </w:trPr>
        <w:tc>
          <w:tcPr>
            <w:tcW w:type="dxa" w:w="4997"/>
            <w:tcMar>
              <w:top w:w="110" w:type="dxa"/>
              <w:start w:w="120" w:type="dxa"/>
              <w:bottom w:w="110" w:type="dxa"/>
              <w:end w:w="120" w:type="dxa"/>
            </w:tcMar>
          </w:tcPr>
          <w:p>
            <w:r>
              <w:t>☐ Arabic markers correct</w:t>
            </w:r>
          </w:p>
        </w:tc>
        <w:tc>
          <w:tcPr>
            <w:tcW w:type="dxa" w:w="4997"/>
            <w:tcMar>
              <w:top w:w="110" w:type="dxa"/>
              <w:start w:w="120" w:type="dxa"/>
              <w:bottom w:w="110" w:type="dxa"/>
              <w:end w:w="120" w:type="dxa"/>
            </w:tcMar>
          </w:tcPr>
          <w:p>
            <w:r>
              <w:t>☐ No raw URLs or empty headings</w:t>
            </w:r>
          </w:p>
        </w:tc>
      </w:tr>
      <w:tr>
        <w:trPr>
          <w:cantSplit/>
        </w:trPr>
        <w:tc>
          <w:tcPr>
            <w:tcW w:type="dxa" w:w="4997"/>
            <w:tcMar>
              <w:top w:w="110" w:type="dxa"/>
              <w:start w:w="120" w:type="dxa"/>
              <w:bottom w:w="110" w:type="dxa"/>
              <w:end w:w="120" w:type="dxa"/>
            </w:tcMar>
            <w:shd w:fill="F7FAFC"/>
          </w:tcPr>
          <w:p>
            <w:r>
              <w:t>☐ Exact disclaimer</w:t>
            </w:r>
          </w:p>
        </w:tc>
        <w:tc>
          <w:tcPr>
            <w:tcW w:type="dxa" w:w="4997"/>
            <w:tcMar>
              <w:top w:w="110" w:type="dxa"/>
              <w:start w:w="120" w:type="dxa"/>
              <w:bottom w:w="110" w:type="dxa"/>
              <w:end w:w="120" w:type="dxa"/>
            </w:tcMar>
            <w:shd w:fill="F7FAFC"/>
          </w:tcPr>
          <w:p>
            <w:r>
              <w:t>☐ All pages rendered and inspected</w:t>
            </w:r>
          </w:p>
        </w:tc>
      </w:tr>
    </w:tbl>
    <w:p>
      <w:pPr>
        <w:spacing w:before="360"/>
        <w:jc w:val="center"/>
      </w:pPr>
      <w:r>
        <w:rPr>
          <w:b/>
          <w:color w:val="467886"/>
          <w:sz w:val="18"/>
        </w:rPr>
        <w:t>End of Editorial Core — Codex Operational Edition follows</w:t>
      </w:r>
    </w:p>
    <w:p>
      <w:r>
        <w:rPr>
          <w:rFonts w:ascii="Calibri" w:hAnsi="Calibri"/>
        </w:rPr>
        <w:br w:type="page"/>
      </w:r>
    </w:p>
    <w:p>
      <w:pPr>
        <w:pStyle w:val="Heading1"/>
        <w:keepNext/>
      </w:pPr>
      <w:r>
        <w:rPr>
          <w:rFonts w:ascii="Calibri" w:hAnsi="Calibri"/>
        </w:rPr>
        <w:t>19. Codex operational architecture</w:t>
      </w:r>
    </w:p>
    <w:p>
      <w:r>
        <w:rPr>
          <w:rFonts w:ascii="Calibri" w:hAnsi="Calibri"/>
        </w:rPr>
        <w:t>The editorial SOP defines what a correct PICS report should contain. This operational edition defines how Codex must execute the work so that the same standard is reproduced consistently. The operational controls are mandatory, not optional recommendations.</w:t>
      </w:r>
    </w:p>
    <w:tbl>
      <w:tblPr>
        <w:tblStyle w:val="TableGrid"/>
        <w:tblW w:type="auto" w:w="0"/>
        <w:jc w:val="center"/>
        <w:tblLook w:firstColumn="1" w:firstRow="1" w:lastColumn="0" w:lastRow="0" w:noHBand="0" w:noVBand="1" w:val="04A0"/>
      </w:tblPr>
      <w:tblGrid>
        <w:gridCol w:w="9994"/>
      </w:tblGrid>
      <w:tr>
        <w:tc>
          <w:tcPr>
            <w:tcW w:type="dxa" w:w="9994"/>
            <w:shd w:fill="EAF2F4"/>
            <w:tcMar>
              <w:top w:w="120" w:type="dxa"/>
              <w:start w:w="140" w:type="dxa"/>
              <w:bottom w:w="120" w:type="dxa"/>
              <w:end w:w="140" w:type="dxa"/>
            </w:tcMar>
          </w:tcPr>
          <w:p>
            <w:pPr>
              <w:spacing w:after="80"/>
            </w:pPr>
            <w:r>
              <w:rPr>
                <w:b/>
                <w:sz w:val="22"/>
              </w:rPr>
              <w:t>Critical distinction</w:t>
            </w:r>
          </w:p>
          <w:p>
            <w:pPr>
              <w:spacing w:after="0"/>
            </w:pPr>
            <w:r>
              <w:t>The Word SOP is the policy reference. AGENTS.md is the repository-level operational contract. Structured data, validators and acceptance tests are the enforcement mechanism. Codex must use all three.</w:t>
            </w:r>
          </w:p>
        </w:tc>
      </w:tr>
    </w:tbl>
    <w:p>
      <w:pPr>
        <w:pStyle w:val="Heading2"/>
        <w:keepNext/>
      </w:pPr>
      <w:r>
        <w:rPr>
          <w:rFonts w:ascii="Calibri" w:hAnsi="Calibri"/>
        </w:rPr>
        <w:t>19.1 Source-of-truth precedence</w:t>
      </w:r>
    </w:p>
    <w:p>
      <w:r>
        <w:rPr>
          <w:rFonts w:ascii="Calibri" w:hAnsi="Calibri"/>
        </w:rPr>
        <w:t>When files, prompts, source lists or draft reports conflict, Codex must apply the following precedence order:</w:t>
      </w:r>
    </w:p>
    <w:p>
      <w:pPr>
        <w:spacing w:after="60"/>
        <w:ind w:left="240" w:hanging="240"/>
      </w:pPr>
      <w:r>
        <w:t>1. The user’s current written instruction for the task.</w:t>
      </w:r>
    </w:p>
    <w:p>
      <w:pPr>
        <w:spacing w:after="60"/>
        <w:ind w:left="240" w:hanging="240"/>
      </w:pPr>
      <w:r>
        <w:t>2. The complete current input dataset and all files supplied for the task.</w:t>
      </w:r>
    </w:p>
    <w:p>
      <w:pPr>
        <w:spacing w:after="60"/>
        <w:ind w:left="240" w:hanging="240"/>
      </w:pPr>
      <w:r>
        <w:t>3. The updated approved-source universe supplied with the current workflow.</w:t>
      </w:r>
    </w:p>
    <w:p>
      <w:pPr>
        <w:spacing w:after="60"/>
        <w:ind w:left="240" w:hanging="240"/>
      </w:pPr>
      <w:r>
        <w:t>4. This PICS Master SOP and Codex Operational Edition.</w:t>
      </w:r>
    </w:p>
    <w:p>
      <w:pPr>
        <w:spacing w:after="60"/>
        <w:ind w:left="240" w:hanging="240"/>
      </w:pPr>
      <w:r>
        <w:t>5. The latest controlling benchmark report, currently 20260621_headlines.docx.</w:t>
      </w:r>
    </w:p>
    <w:p>
      <w:pPr>
        <w:spacing w:after="60"/>
        <w:ind w:left="240" w:hanging="240"/>
      </w:pPr>
      <w:r>
        <w:t>6. Earlier June 2026 benchmark reports.</w:t>
      </w:r>
    </w:p>
    <w:p>
      <w:pPr>
        <w:spacing w:after="60"/>
        <w:ind w:left="240" w:hanging="240"/>
      </w:pPr>
      <w:r>
        <w:t>7. The existing draft report, which is only an editable starting point and never the authoritative article inventory.</w:t>
      </w:r>
    </w:p>
    <w:tbl>
      <w:tblPr>
        <w:tblStyle w:val="TableGrid"/>
        <w:tblW w:type="auto" w:w="0"/>
        <w:jc w:val="center"/>
        <w:tblLook w:firstColumn="1" w:firstRow="1" w:lastColumn="0" w:lastRow="0" w:noHBand="0" w:noVBand="1" w:val="04A0"/>
      </w:tblPr>
      <w:tblGrid>
        <w:gridCol w:w="9994"/>
      </w:tblGrid>
      <w:tr>
        <w:tc>
          <w:tcPr>
            <w:tcW w:type="dxa" w:w="9994"/>
            <w:shd w:fill="EAF2F4"/>
            <w:tcMar>
              <w:top w:w="120" w:type="dxa"/>
              <w:start w:w="140" w:type="dxa"/>
              <w:bottom w:w="120" w:type="dxa"/>
              <w:end w:w="140" w:type="dxa"/>
            </w:tcMar>
          </w:tcPr>
          <w:p>
            <w:pPr>
              <w:spacing w:after="80"/>
            </w:pPr>
            <w:r>
              <w:rPr>
                <w:b/>
                <w:sz w:val="22"/>
              </w:rPr>
              <w:t>Draft-report limitation</w:t>
            </w:r>
          </w:p>
          <w:p>
            <w:pPr>
              <w:spacing w:after="0"/>
            </w:pPr>
            <w:r>
              <w:t>Codex must never assume that the draft report is complete or correct. It may already contain missing stories, wrong dates, unsupported summaries, merged UN coverage, incorrect role labels, redirect links or misclassified items.</w:t>
            </w:r>
          </w:p>
        </w:tc>
      </w:tr>
    </w:tbl>
    <w:p>
      <w:pPr>
        <w:pStyle w:val="Heading2"/>
        <w:keepNext/>
      </w:pPr>
      <w:r>
        <w:rPr>
          <w:rFonts w:ascii="Calibri" w:hAnsi="Calibri"/>
        </w:rPr>
        <w:t>19.2 Required repository structure</w:t>
      </w:r>
    </w:p>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8"/>
              </w:rPr>
              <w:t>project-root/</w:t>
            </w:r>
            <w:r>
              <w:br/>
            </w:r>
            <w:r>
              <w:rPr>
                <w:rFonts w:ascii="Consolas" w:hAnsi="Consolas" w:eastAsia="Consolas"/>
                <w:sz w:val="18"/>
              </w:rPr>
              <w:t>├── AGENTS.md</w:t>
            </w:r>
            <w:r>
              <w:br/>
            </w:r>
            <w:r>
              <w:rPr>
                <w:rFonts w:ascii="Consolas" w:hAnsi="Consolas" w:eastAsia="Consolas"/>
                <w:sz w:val="18"/>
              </w:rPr>
              <w:t>├── docs/</w:t>
            </w:r>
            <w:r>
              <w:br/>
            </w:r>
            <w:r>
              <w:rPr>
                <w:rFonts w:ascii="Consolas" w:hAnsi="Consolas" w:eastAsia="Consolas"/>
                <w:sz w:val="18"/>
              </w:rPr>
              <w:t>│   └── PICS_Libya_News_Headlines_Master_SOP_Codex_Operational_Edition.docx</w:t>
            </w:r>
            <w:r>
              <w:br/>
            </w:r>
            <w:r>
              <w:rPr>
                <w:rFonts w:ascii="Consolas" w:hAnsi="Consolas" w:eastAsia="Consolas"/>
                <w:sz w:val="18"/>
              </w:rPr>
              <w:t>├── templates/</w:t>
            </w:r>
            <w:r>
              <w:br/>
            </w:r>
            <w:r>
              <w:rPr>
                <w:rFonts w:ascii="Consolas" w:hAnsi="Consolas" w:eastAsia="Consolas"/>
                <w:sz w:val="18"/>
              </w:rPr>
              <w:t>│   └── 20260621_headlines.docx</w:t>
            </w:r>
            <w:r>
              <w:br/>
            </w:r>
            <w:r>
              <w:rPr>
                <w:rFonts w:ascii="Consolas" w:hAnsi="Consolas" w:eastAsia="Consolas"/>
                <w:sz w:val="18"/>
              </w:rPr>
              <w:t>├── data/</w:t>
            </w:r>
            <w:r>
              <w:br/>
            </w:r>
            <w:r>
              <w:rPr>
                <w:rFonts w:ascii="Consolas" w:hAnsi="Consolas" w:eastAsia="Consolas"/>
                <w:sz w:val="18"/>
              </w:rPr>
              <w:t>│   ├── approved_sources.csv</w:t>
            </w:r>
            <w:r>
              <w:br/>
            </w:r>
            <w:r>
              <w:rPr>
                <w:rFonts w:ascii="Consolas" w:hAnsi="Consolas" w:eastAsia="Consolas"/>
                <w:sz w:val="18"/>
              </w:rPr>
              <w:t>│   ├── raw_input.csv</w:t>
            </w:r>
            <w:r>
              <w:br/>
            </w:r>
            <w:r>
              <w:rPr>
                <w:rFonts w:ascii="Consolas" w:hAnsi="Consolas" w:eastAsia="Consolas"/>
                <w:sz w:val="18"/>
              </w:rPr>
              <w:t>│   ├── verified_records.csv</w:t>
            </w:r>
            <w:r>
              <w:br/>
            </w:r>
            <w:r>
              <w:rPr>
                <w:rFonts w:ascii="Consolas" w:hAnsi="Consolas" w:eastAsia="Consolas"/>
                <w:sz w:val="18"/>
              </w:rPr>
              <w:t>│   └── un_inventory.csv</w:t>
            </w:r>
            <w:r>
              <w:br/>
            </w:r>
            <w:r>
              <w:rPr>
                <w:rFonts w:ascii="Consolas" w:hAnsi="Consolas" w:eastAsia="Consolas"/>
                <w:sz w:val="18"/>
              </w:rPr>
              <w:t>├── scripts/</w:t>
            </w:r>
            <w:r>
              <w:br/>
            </w:r>
            <w:r>
              <w:rPr>
                <w:rFonts w:ascii="Consolas" w:hAnsi="Consolas" w:eastAsia="Consolas"/>
                <w:sz w:val="18"/>
              </w:rPr>
              <w:t>│   ├── extract_docx_records.py</w:t>
            </w:r>
            <w:r>
              <w:br/>
            </w:r>
            <w:r>
              <w:rPr>
                <w:rFonts w:ascii="Consolas" w:hAnsi="Consolas" w:eastAsia="Consolas"/>
                <w:sz w:val="18"/>
              </w:rPr>
              <w:t>│   ├── resolve_urls.py</w:t>
            </w:r>
            <w:r>
              <w:br/>
            </w:r>
            <w:r>
              <w:rPr>
                <w:rFonts w:ascii="Consolas" w:hAnsi="Consolas" w:eastAsia="Consolas"/>
                <w:sz w:val="18"/>
              </w:rPr>
              <w:t>│   ├── validate_records.py</w:t>
            </w:r>
            <w:r>
              <w:br/>
            </w:r>
            <w:r>
              <w:rPr>
                <w:rFonts w:ascii="Consolas" w:hAnsi="Consolas" w:eastAsia="Consolas"/>
                <w:sz w:val="18"/>
              </w:rPr>
              <w:t>│   ├── build_pics_docx.py</w:t>
            </w:r>
            <w:r>
              <w:br/>
            </w:r>
            <w:r>
              <w:rPr>
                <w:rFonts w:ascii="Consolas" w:hAnsi="Consolas" w:eastAsia="Consolas"/>
                <w:sz w:val="18"/>
              </w:rPr>
              <w:t>│   ├── validate_docx.py</w:t>
            </w:r>
            <w:r>
              <w:br/>
            </w:r>
            <w:r>
              <w:rPr>
                <w:rFonts w:ascii="Consolas" w:hAnsi="Consolas" w:eastAsia="Consolas"/>
                <w:sz w:val="18"/>
              </w:rPr>
              <w:t>│   └── render_and_review.py</w:t>
            </w:r>
            <w:r>
              <w:br/>
            </w:r>
            <w:r>
              <w:rPr>
                <w:rFonts w:ascii="Consolas" w:hAnsi="Consolas" w:eastAsia="Consolas"/>
                <w:sz w:val="18"/>
              </w:rPr>
              <w:t>├── tests/</w:t>
            </w:r>
            <w:r>
              <w:br/>
            </w:r>
            <w:r>
              <w:rPr>
                <w:rFonts w:ascii="Consolas" w:hAnsi="Consolas" w:eastAsia="Consolas"/>
                <w:sz w:val="18"/>
              </w:rPr>
              <w:t>│   ├── test_reconciliation.py</w:t>
            </w:r>
            <w:r>
              <w:br/>
            </w:r>
            <w:r>
              <w:rPr>
                <w:rFonts w:ascii="Consolas" w:hAnsi="Consolas" w:eastAsia="Consolas"/>
                <w:sz w:val="18"/>
              </w:rPr>
              <w:t>│   ├── test_un_protection.py</w:t>
            </w:r>
            <w:r>
              <w:br/>
            </w:r>
            <w:r>
              <w:rPr>
                <w:rFonts w:ascii="Consolas" w:hAnsi="Consolas" w:eastAsia="Consolas"/>
                <w:sz w:val="18"/>
              </w:rPr>
              <w:t>│   ├── test_hyperlinks.py</w:t>
            </w:r>
            <w:r>
              <w:br/>
            </w:r>
            <w:r>
              <w:rPr>
                <w:rFonts w:ascii="Consolas" w:hAnsi="Consolas" w:eastAsia="Consolas"/>
                <w:sz w:val="18"/>
              </w:rPr>
              <w:t>│   ├── test_formatting.py</w:t>
            </w:r>
            <w:r>
              <w:br/>
            </w:r>
            <w:r>
              <w:rPr>
                <w:rFonts w:ascii="Consolas" w:hAnsi="Consolas" w:eastAsia="Consolas"/>
                <w:sz w:val="18"/>
              </w:rPr>
              <w:t>│   └── test_editorial_rules.py</w:t>
            </w:r>
            <w:r>
              <w:br/>
            </w:r>
            <w:r>
              <w:rPr>
                <w:rFonts w:ascii="Consolas" w:hAnsi="Consolas" w:eastAsia="Consolas"/>
                <w:sz w:val="18"/>
              </w:rPr>
              <w:t>└── output/</w:t>
            </w:r>
          </w:p>
        </w:tc>
      </w:tr>
    </w:tbl>
    <w:p>
      <w:pPr>
        <w:pStyle w:val="ListBullet"/>
      </w:pPr>
      <w:r>
        <w:rPr>
          <w:rFonts w:ascii="Calibri" w:hAnsi="Calibri"/>
        </w:rPr>
        <w:t>Equivalent filenames are acceptable, but the functional separation between source data, verification, document generation, tests and output must remain.</w:t>
      </w:r>
    </w:p>
    <w:p>
      <w:pPr>
        <w:pStyle w:val="ListBullet"/>
      </w:pPr>
      <w:r>
        <w:rPr>
          <w:rFonts w:ascii="Calibri" w:hAnsi="Calibri"/>
        </w:rPr>
        <w:t>Codex must read AGENTS.md and the complete SOP before editing or generating the report.</w:t>
      </w:r>
    </w:p>
    <w:p>
      <w:pPr>
        <w:pStyle w:val="ListBullet"/>
      </w:pPr>
      <w:r>
        <w:rPr>
          <w:rFonts w:ascii="Calibri" w:hAnsi="Calibri"/>
        </w:rPr>
        <w:t>The final DOCX must be generated from verified structured data, not from an untracked sequence of manual paragraph edits.</w:t>
      </w:r>
    </w:p>
    <w:p>
      <w:pPr>
        <w:pStyle w:val="Heading1"/>
        <w:keepNext/>
      </w:pPr>
      <w:r>
        <w:rPr>
          <w:rFonts w:ascii="Calibri" w:hAnsi="Calibri"/>
        </w:rPr>
        <w:t>20. Mandatory input-to-output reconciliation</w:t>
      </w:r>
    </w:p>
    <w:p>
      <w:r>
        <w:rPr>
          <w:rFonts w:ascii="Calibri" w:hAnsi="Calibri"/>
        </w:rPr>
        <w:t>Every candidate record must be traceable from the original input to one final disposition. Silent deletion is prohibited.</w:t>
      </w:r>
    </w:p>
    <w:p>
      <w:pPr>
        <w:pStyle w:val="Heading2"/>
        <w:keepNext/>
      </w:pPr>
      <w:r>
        <w:rPr>
          <w:rFonts w:ascii="Calibri" w:hAnsi="Calibri"/>
        </w:rPr>
        <w:t>20.1 Unique record identifiers</w:t>
      </w:r>
    </w:p>
    <w:p>
      <w:pPr>
        <w:pStyle w:val="ListBullet"/>
      </w:pPr>
      <w:r>
        <w:rPr>
          <w:rFonts w:ascii="Calibri" w:hAnsi="Calibri"/>
        </w:rPr>
        <w:t>Assign every candidate article a stable record_id before filtering, clustering, rewriting or deduplication.</w:t>
      </w:r>
    </w:p>
    <w:p>
      <w:pPr>
        <w:pStyle w:val="ListBullet"/>
      </w:pPr>
      <w:r>
        <w:rPr>
          <w:rFonts w:ascii="Calibri" w:hAnsi="Calibri"/>
        </w:rPr>
        <w:t>The record_id must remain unchanged through URL resolution, verification, clustering, report generation and final audit.</w:t>
      </w:r>
    </w:p>
    <w:p>
      <w:pPr>
        <w:pStyle w:val="ListBullet"/>
      </w:pPr>
      <w:r>
        <w:rPr>
          <w:rFonts w:ascii="Calibri" w:hAnsi="Calibri"/>
        </w:rPr>
        <w:t>When one input row contains several sources, create one source-level record for each distinct article URL so every article can be audited independently.</w:t>
      </w:r>
    </w:p>
    <w:p>
      <w:pPr>
        <w:pStyle w:val="ListBullet"/>
      </w:pPr>
      <w:r>
        <w:rPr>
          <w:rFonts w:ascii="Calibri" w:hAnsi="Calibri"/>
        </w:rPr>
        <w:t>A merged non-UN report item may reference several record_ids, but no record_id may disappear from the audit trail.</w:t>
      </w:r>
    </w:p>
    <w:p>
      <w:pPr>
        <w:pStyle w:val="Heading2"/>
        <w:keepNext/>
      </w:pPr>
      <w:r>
        <w:rPr>
          <w:rFonts w:ascii="Calibri" w:hAnsi="Calibri"/>
        </w:rPr>
        <w:t>20.2 Permitted final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D9E6EA"/>
            <w:vAlign w:val="center"/>
            <w:tcMar>
              <w:top w:w="90" w:type="dxa"/>
              <w:start w:w="110" w:type="dxa"/>
              <w:bottom w:w="90" w:type="dxa"/>
              <w:end w:w="110" w:type="dxa"/>
            </w:tcMar>
          </w:tcPr>
          <w:p>
            <w:pPr>
              <w:jc w:val="center"/>
            </w:pPr>
            <w:r>
              <w:rPr>
                <w:b/>
                <w:sz w:val="16"/>
              </w:rPr>
              <w:t>Decision code</w:t>
            </w:r>
          </w:p>
        </w:tc>
        <w:tc>
          <w:tcPr>
            <w:tcW w:type="dxa" w:w="2880"/>
            <w:shd w:fill="D9E6EA"/>
            <w:vAlign w:val="center"/>
            <w:tcMar>
              <w:top w:w="90" w:type="dxa"/>
              <w:start w:w="110" w:type="dxa"/>
              <w:bottom w:w="90" w:type="dxa"/>
              <w:end w:w="110" w:type="dxa"/>
            </w:tcMar>
          </w:tcPr>
          <w:p>
            <w:pPr>
              <w:jc w:val="center"/>
            </w:pPr>
            <w:r>
              <w:rPr>
                <w:b/>
                <w:sz w:val="16"/>
              </w:rPr>
              <w:t>Meaning</w:t>
            </w:r>
          </w:p>
        </w:tc>
        <w:tc>
          <w:tcPr>
            <w:tcW w:type="dxa" w:w="4896"/>
            <w:shd w:fill="D9E6EA"/>
            <w:vAlign w:val="center"/>
            <w:tcMar>
              <w:top w:w="90" w:type="dxa"/>
              <w:start w:w="110" w:type="dxa"/>
              <w:bottom w:w="90" w:type="dxa"/>
              <w:end w:w="110" w:type="dxa"/>
            </w:tcMar>
          </w:tcPr>
          <w:p>
            <w:pPr>
              <w:jc w:val="center"/>
            </w:pPr>
            <w:r>
              <w:rPr>
                <w:b/>
                <w:sz w:val="16"/>
              </w:rPr>
              <w:t>Required evidence</w:t>
            </w:r>
          </w:p>
        </w:tc>
      </w:tr>
      <w:tr>
        <w:tc>
          <w:tcPr>
            <w:tcW w:type="dxa" w:w="1584"/>
            <w:vAlign w:val="top"/>
            <w:tcMar>
              <w:top w:w="90" w:type="dxa"/>
              <w:start w:w="110" w:type="dxa"/>
              <w:bottom w:w="90" w:type="dxa"/>
              <w:end w:w="110" w:type="dxa"/>
            </w:tcMar>
          </w:tcPr>
          <w:p>
            <w:pPr>
              <w:spacing w:after="0"/>
            </w:pPr>
            <w:r>
              <w:rPr>
                <w:sz w:val="16"/>
              </w:rPr>
              <w:t>INCLUDED</w:t>
            </w:r>
          </w:p>
        </w:tc>
        <w:tc>
          <w:tcPr>
            <w:tcW w:type="dxa" w:w="2880"/>
            <w:vAlign w:val="top"/>
            <w:tcMar>
              <w:top w:w="90" w:type="dxa"/>
              <w:start w:w="110" w:type="dxa"/>
              <w:bottom w:w="90" w:type="dxa"/>
              <w:end w:w="110" w:type="dxa"/>
            </w:tcMar>
          </w:tcPr>
          <w:p>
            <w:pPr>
              <w:spacing w:after="0"/>
            </w:pPr>
            <w:r>
              <w:rPr>
                <w:sz w:val="16"/>
              </w:rPr>
              <w:t>Article appears in the final report as its own bullet or as an allowed non-UN consolidated source.</w:t>
            </w:r>
          </w:p>
        </w:tc>
        <w:tc>
          <w:tcPr>
            <w:tcW w:type="dxa" w:w="4896"/>
            <w:vAlign w:val="top"/>
            <w:tcMar>
              <w:top w:w="90" w:type="dxa"/>
              <w:start w:w="110" w:type="dxa"/>
              <w:bottom w:w="90" w:type="dxa"/>
              <w:end w:w="110" w:type="dxa"/>
            </w:tcMar>
          </w:tcPr>
          <w:p>
            <w:pPr>
              <w:spacing w:after="0"/>
            </w:pPr>
            <w:r>
              <w:rPr>
                <w:sz w:val="16"/>
              </w:rPr>
              <w:t>Final section, subsection, headline and hyperlink must be recorded.</w:t>
            </w:r>
          </w:p>
        </w:tc>
      </w:tr>
      <w:tr>
        <w:tc>
          <w:tcPr>
            <w:tcW w:type="dxa" w:w="1584"/>
            <w:vAlign w:val="top"/>
            <w:tcMar>
              <w:top w:w="90" w:type="dxa"/>
              <w:start w:w="110" w:type="dxa"/>
              <w:bottom w:w="90" w:type="dxa"/>
              <w:end w:w="110" w:type="dxa"/>
            </w:tcMar>
          </w:tcPr>
          <w:p>
            <w:pPr>
              <w:spacing w:after="0"/>
            </w:pPr>
            <w:r>
              <w:rPr>
                <w:sz w:val="16"/>
              </w:rPr>
              <w:t>EXCLUDED</w:t>
            </w:r>
          </w:p>
        </w:tc>
        <w:tc>
          <w:tcPr>
            <w:tcW w:type="dxa" w:w="2880"/>
            <w:vAlign w:val="top"/>
            <w:tcMar>
              <w:top w:w="90" w:type="dxa"/>
              <w:start w:w="110" w:type="dxa"/>
              <w:bottom w:w="90" w:type="dxa"/>
              <w:end w:w="110" w:type="dxa"/>
            </w:tcMar>
          </w:tcPr>
          <w:p>
            <w:pPr>
              <w:spacing w:after="0"/>
            </w:pPr>
            <w:r>
              <w:rPr>
                <w:sz w:val="16"/>
              </w:rPr>
              <w:t>Article is not used.</w:t>
            </w:r>
          </w:p>
        </w:tc>
        <w:tc>
          <w:tcPr>
            <w:tcW w:type="dxa" w:w="4896"/>
            <w:vAlign w:val="top"/>
            <w:tcMar>
              <w:top w:w="90" w:type="dxa"/>
              <w:start w:w="110" w:type="dxa"/>
              <w:bottom w:w="90" w:type="dxa"/>
              <w:end w:w="110" w:type="dxa"/>
            </w:tcMar>
          </w:tcPr>
          <w:p>
            <w:pPr>
              <w:spacing w:after="0"/>
            </w:pPr>
            <w:r>
              <w:rPr>
                <w:sz w:val="16"/>
              </w:rPr>
              <w:t>A specific standard exclusion reason and supporting note are mandatory.</w:t>
            </w:r>
          </w:p>
        </w:tc>
      </w:tr>
      <w:tr>
        <w:tc>
          <w:tcPr>
            <w:tcW w:type="dxa" w:w="1584"/>
            <w:vAlign w:val="top"/>
            <w:tcMar>
              <w:top w:w="90" w:type="dxa"/>
              <w:start w:w="110" w:type="dxa"/>
              <w:bottom w:w="90" w:type="dxa"/>
              <w:end w:w="110" w:type="dxa"/>
            </w:tcMar>
          </w:tcPr>
          <w:p>
            <w:pPr>
              <w:spacing w:after="0"/>
            </w:pPr>
            <w:r>
              <w:rPr>
                <w:sz w:val="16"/>
              </w:rPr>
              <w:t>MERGED</w:t>
            </w:r>
          </w:p>
        </w:tc>
        <w:tc>
          <w:tcPr>
            <w:tcW w:type="dxa" w:w="2880"/>
            <w:vAlign w:val="top"/>
            <w:tcMar>
              <w:top w:w="90" w:type="dxa"/>
              <w:start w:w="110" w:type="dxa"/>
              <w:bottom w:w="90" w:type="dxa"/>
              <w:end w:w="110" w:type="dxa"/>
            </w:tcMar>
          </w:tcPr>
          <w:p>
            <w:pPr>
              <w:spacing w:after="0"/>
            </w:pPr>
            <w:r>
              <w:rPr>
                <w:sz w:val="16"/>
              </w:rPr>
              <w:t>Eligible non-UN duplicate is represented through another final item.</w:t>
            </w:r>
          </w:p>
        </w:tc>
        <w:tc>
          <w:tcPr>
            <w:tcW w:type="dxa" w:w="4896"/>
            <w:vAlign w:val="top"/>
            <w:tcMar>
              <w:top w:w="90" w:type="dxa"/>
              <w:start w:w="110" w:type="dxa"/>
              <w:bottom w:w="90" w:type="dxa"/>
              <w:end w:w="110" w:type="dxa"/>
            </w:tcMar>
          </w:tcPr>
          <w:p>
            <w:pPr>
              <w:spacing w:after="0"/>
            </w:pPr>
            <w:r>
              <w:rPr>
                <w:sz w:val="16"/>
              </w:rPr>
              <w:t>Target cluster/final item ID and duplicate category are mandatory.</w:t>
            </w:r>
          </w:p>
        </w:tc>
      </w:tr>
      <w:tr>
        <w:tc>
          <w:tcPr>
            <w:tcW w:type="dxa" w:w="1584"/>
            <w:vAlign w:val="top"/>
            <w:tcMar>
              <w:top w:w="90" w:type="dxa"/>
              <w:start w:w="110" w:type="dxa"/>
              <w:bottom w:w="90" w:type="dxa"/>
              <w:end w:w="110" w:type="dxa"/>
            </w:tcMar>
          </w:tcPr>
          <w:p>
            <w:pPr>
              <w:spacing w:after="0"/>
            </w:pPr>
            <w:r>
              <w:rPr>
                <w:sz w:val="16"/>
              </w:rPr>
              <w:t>UNRESOLVED</w:t>
            </w:r>
          </w:p>
        </w:tc>
        <w:tc>
          <w:tcPr>
            <w:tcW w:type="dxa" w:w="2880"/>
            <w:vAlign w:val="top"/>
            <w:tcMar>
              <w:top w:w="90" w:type="dxa"/>
              <w:start w:w="110" w:type="dxa"/>
              <w:bottom w:w="90" w:type="dxa"/>
              <w:end w:w="110" w:type="dxa"/>
            </w:tcMar>
          </w:tcPr>
          <w:p>
            <w:pPr>
              <w:spacing w:after="0"/>
            </w:pPr>
            <w:r>
              <w:rPr>
                <w:sz w:val="16"/>
              </w:rPr>
              <w:t>The article cannot yet be verified or classified.</w:t>
            </w:r>
          </w:p>
        </w:tc>
        <w:tc>
          <w:tcPr>
            <w:tcW w:type="dxa" w:w="4896"/>
            <w:vAlign w:val="top"/>
            <w:tcMar>
              <w:top w:w="90" w:type="dxa"/>
              <w:start w:w="110" w:type="dxa"/>
              <w:bottom w:w="90" w:type="dxa"/>
              <w:end w:w="110" w:type="dxa"/>
            </w:tcMar>
          </w:tcPr>
          <w:p>
            <w:pPr>
              <w:spacing w:after="0"/>
            </w:pPr>
            <w:r>
              <w:rPr>
                <w:sz w:val="16"/>
              </w:rPr>
              <w:t>This is an interim status only and blocks final delivery.</w:t>
            </w:r>
          </w:p>
        </w:tc>
      </w:tr>
    </w:tbl>
    <w:p>
      <w:pPr>
        <w:pStyle w:val="Heading2"/>
        <w:keepNext/>
      </w:pPr>
      <w:r>
        <w:rPr>
          <w:rFonts w:ascii="Calibri" w:hAnsi="Calibri"/>
        </w:rPr>
        <w:t>20.3 Reconciliation equations</w:t>
      </w:r>
    </w:p>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9"/>
              </w:rPr>
              <w:t>TOTAL_INPUT_RECORDS = INCLUDED_RECORDS + EXCLUDED_RECORDS + MERGED_RECORDS + UNRESOLVED_RECORDS</w:t>
            </w:r>
            <w:r>
              <w:br/>
            </w:r>
            <w:r>
              <w:rPr>
                <w:rFonts w:ascii="Consolas" w:hAnsi="Consolas" w:eastAsia="Consolas"/>
                <w:sz w:val="19"/>
              </w:rPr>
            </w:r>
            <w:r>
              <w:br/>
            </w:r>
            <w:r>
              <w:rPr>
                <w:rFonts w:ascii="Consolas" w:hAnsi="Consolas" w:eastAsia="Consolas"/>
                <w:sz w:val="19"/>
              </w:rPr>
              <w:t>UNRESOLVED_RECORDS must equal 0 before delivery.</w:t>
            </w:r>
            <w:r>
              <w:br/>
            </w:r>
            <w:r>
              <w:rPr>
                <w:rFonts w:ascii="Consolas" w:hAnsi="Consolas" w:eastAsia="Consolas"/>
                <w:sz w:val="19"/>
              </w:rPr>
            </w:r>
            <w:r>
              <w:br/>
            </w:r>
            <w:r>
              <w:rPr>
                <w:rFonts w:ascii="Consolas" w:hAnsi="Consolas" w:eastAsia="Consolas"/>
                <w:sz w:val="19"/>
              </w:rPr>
              <w:t>Every INCLUDED or MERGED record must map to a final_item_id.</w:t>
            </w:r>
            <w:r>
              <w:br/>
            </w:r>
            <w:r>
              <w:rPr>
                <w:rFonts w:ascii="Consolas" w:hAnsi="Consolas" w:eastAsia="Consolas"/>
                <w:sz w:val="19"/>
              </w:rPr>
              <w:t>Every final report item must map back to one or more verified record_ids.</w:t>
            </w:r>
          </w:p>
        </w:tc>
      </w:tr>
    </w:tbl>
    <w:tbl>
      <w:tblPr>
        <w:tblStyle w:val="TableGrid"/>
        <w:tblW w:type="auto" w:w="0"/>
        <w:jc w:val="center"/>
        <w:tblLook w:firstColumn="1" w:firstRow="1" w:lastColumn="0" w:lastRow="0" w:noHBand="0" w:noVBand="1" w:val="04A0"/>
      </w:tblPr>
      <w:tblGrid>
        <w:gridCol w:w="9994"/>
      </w:tblGrid>
      <w:tr>
        <w:tc>
          <w:tcPr>
            <w:tcW w:type="dxa" w:w="9994"/>
            <w:shd w:fill="FCE8E6"/>
            <w:tcMar>
              <w:top w:w="120" w:type="dxa"/>
              <w:start w:w="140" w:type="dxa"/>
              <w:bottom w:w="120" w:type="dxa"/>
              <w:end w:w="140" w:type="dxa"/>
            </w:tcMar>
          </w:tcPr>
          <w:p>
            <w:pPr>
              <w:spacing w:after="80"/>
            </w:pPr>
            <w:r>
              <w:rPr>
                <w:b/>
                <w:sz w:val="22"/>
              </w:rPr>
              <w:t>Hard delivery gate</w:t>
            </w:r>
          </w:p>
          <w:p>
            <w:pPr>
              <w:spacing w:after="0"/>
            </w:pPr>
            <w:r>
              <w:t>Codex must not deliver the final report if the reconciliation equation does not balance exactly or if any record remains UNRESOLVED.</w:t>
            </w:r>
          </w:p>
        </w:tc>
      </w:tr>
    </w:tbl>
    <w:p>
      <w:pPr>
        <w:pStyle w:val="Heading2"/>
        <w:keepNext/>
      </w:pPr>
      <w:r>
        <w:rPr>
          <w:rFonts w:ascii="Calibri" w:hAnsi="Calibri"/>
        </w:rPr>
        <w:t>20.4 Required reconciliation table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D9E6EA"/>
            <w:vAlign w:val="center"/>
            <w:tcMar>
              <w:top w:w="90" w:type="dxa"/>
              <w:start w:w="110" w:type="dxa"/>
              <w:bottom w:w="90" w:type="dxa"/>
              <w:end w:w="110" w:type="dxa"/>
            </w:tcMar>
          </w:tcPr>
          <w:p>
            <w:pPr>
              <w:jc w:val="center"/>
            </w:pPr>
            <w:r>
              <w:rPr>
                <w:b/>
                <w:sz w:val="16"/>
              </w:rPr>
              <w:t>Field</w:t>
            </w:r>
          </w:p>
        </w:tc>
        <w:tc>
          <w:tcPr>
            <w:tcW w:type="dxa" w:w="6912"/>
            <w:shd w:fill="D9E6EA"/>
            <w:vAlign w:val="center"/>
            <w:tcMar>
              <w:top w:w="90" w:type="dxa"/>
              <w:start w:w="110" w:type="dxa"/>
              <w:bottom w:w="90" w:type="dxa"/>
              <w:end w:w="110" w:type="dxa"/>
            </w:tcMar>
          </w:tcPr>
          <w:p>
            <w:pPr>
              <w:jc w:val="center"/>
            </w:pPr>
            <w:r>
              <w:rPr>
                <w:b/>
                <w:sz w:val="16"/>
              </w:rPr>
              <w:t>Required value</w:t>
            </w:r>
          </w:p>
        </w:tc>
      </w:tr>
      <w:tr>
        <w:tc>
          <w:tcPr>
            <w:tcW w:type="dxa" w:w="2448"/>
            <w:vAlign w:val="top"/>
            <w:tcMar>
              <w:top w:w="90" w:type="dxa"/>
              <w:start w:w="110" w:type="dxa"/>
              <w:bottom w:w="90" w:type="dxa"/>
              <w:end w:w="110" w:type="dxa"/>
            </w:tcMar>
          </w:tcPr>
          <w:p>
            <w:pPr>
              <w:spacing w:after="0"/>
            </w:pPr>
            <w:r>
              <w:rPr>
                <w:sz w:val="16"/>
              </w:rPr>
              <w:t>record_id</w:t>
            </w:r>
          </w:p>
        </w:tc>
        <w:tc>
          <w:tcPr>
            <w:tcW w:type="dxa" w:w="6912"/>
            <w:vAlign w:val="top"/>
            <w:tcMar>
              <w:top w:w="90" w:type="dxa"/>
              <w:start w:w="110" w:type="dxa"/>
              <w:bottom w:w="90" w:type="dxa"/>
              <w:end w:w="110" w:type="dxa"/>
            </w:tcMar>
          </w:tcPr>
          <w:p>
            <w:pPr>
              <w:spacing w:after="0"/>
            </w:pPr>
            <w:r>
              <w:rPr>
                <w:sz w:val="16"/>
              </w:rPr>
              <w:t>Stable unique identifier.</w:t>
            </w:r>
          </w:p>
        </w:tc>
      </w:tr>
      <w:tr>
        <w:tc>
          <w:tcPr>
            <w:tcW w:type="dxa" w:w="2448"/>
            <w:vAlign w:val="top"/>
            <w:tcMar>
              <w:top w:w="90" w:type="dxa"/>
              <w:start w:w="110" w:type="dxa"/>
              <w:bottom w:w="90" w:type="dxa"/>
              <w:end w:w="110" w:type="dxa"/>
            </w:tcMar>
          </w:tcPr>
          <w:p>
            <w:pPr>
              <w:spacing w:after="0"/>
            </w:pPr>
            <w:r>
              <w:rPr>
                <w:sz w:val="16"/>
              </w:rPr>
              <w:t>original_input_location</w:t>
            </w:r>
          </w:p>
        </w:tc>
        <w:tc>
          <w:tcPr>
            <w:tcW w:type="dxa" w:w="6912"/>
            <w:vAlign w:val="top"/>
            <w:tcMar>
              <w:top w:w="90" w:type="dxa"/>
              <w:start w:w="110" w:type="dxa"/>
              <w:bottom w:w="90" w:type="dxa"/>
              <w:end w:w="110" w:type="dxa"/>
            </w:tcMar>
          </w:tcPr>
          <w:p>
            <w:pPr>
              <w:spacing w:after="0"/>
            </w:pPr>
            <w:r>
              <w:rPr>
                <w:sz w:val="16"/>
              </w:rPr>
              <w:t>File, row, paragraph or source batch where the record originated.</w:t>
            </w:r>
          </w:p>
        </w:tc>
      </w:tr>
      <w:tr>
        <w:tc>
          <w:tcPr>
            <w:tcW w:type="dxa" w:w="2448"/>
            <w:vAlign w:val="top"/>
            <w:tcMar>
              <w:top w:w="90" w:type="dxa"/>
              <w:start w:w="110" w:type="dxa"/>
              <w:bottom w:w="90" w:type="dxa"/>
              <w:end w:w="110" w:type="dxa"/>
            </w:tcMar>
          </w:tcPr>
          <w:p>
            <w:pPr>
              <w:spacing w:after="0"/>
            </w:pPr>
            <w:r>
              <w:rPr>
                <w:sz w:val="16"/>
              </w:rPr>
              <w:t>original_headline</w:t>
            </w:r>
          </w:p>
        </w:tc>
        <w:tc>
          <w:tcPr>
            <w:tcW w:type="dxa" w:w="6912"/>
            <w:vAlign w:val="top"/>
            <w:tcMar>
              <w:top w:w="90" w:type="dxa"/>
              <w:start w:w="110" w:type="dxa"/>
              <w:bottom w:w="90" w:type="dxa"/>
              <w:end w:w="110" w:type="dxa"/>
            </w:tcMar>
          </w:tcPr>
          <w:p>
            <w:pPr>
              <w:spacing w:after="0"/>
            </w:pPr>
            <w:r>
              <w:rPr>
                <w:sz w:val="16"/>
              </w:rPr>
              <w:t>Headline exactly as supplied or extracted.</w:t>
            </w:r>
          </w:p>
        </w:tc>
      </w:tr>
      <w:tr>
        <w:tc>
          <w:tcPr>
            <w:tcW w:type="dxa" w:w="2448"/>
            <w:vAlign w:val="top"/>
            <w:tcMar>
              <w:top w:w="90" w:type="dxa"/>
              <w:start w:w="110" w:type="dxa"/>
              <w:bottom w:w="90" w:type="dxa"/>
              <w:end w:w="110" w:type="dxa"/>
            </w:tcMar>
          </w:tcPr>
          <w:p>
            <w:pPr>
              <w:spacing w:after="0"/>
            </w:pPr>
            <w:r>
              <w:rPr>
                <w:sz w:val="16"/>
              </w:rPr>
              <w:t>source_name</w:t>
            </w:r>
          </w:p>
        </w:tc>
        <w:tc>
          <w:tcPr>
            <w:tcW w:type="dxa" w:w="6912"/>
            <w:vAlign w:val="top"/>
            <w:tcMar>
              <w:top w:w="90" w:type="dxa"/>
              <w:start w:w="110" w:type="dxa"/>
              <w:bottom w:w="90" w:type="dxa"/>
              <w:end w:w="110" w:type="dxa"/>
            </w:tcMar>
          </w:tcPr>
          <w:p>
            <w:pPr>
              <w:spacing w:after="0"/>
            </w:pPr>
            <w:r>
              <w:rPr>
                <w:sz w:val="16"/>
              </w:rPr>
              <w:t>Normalised outlet name.</w:t>
            </w:r>
          </w:p>
        </w:tc>
      </w:tr>
      <w:tr>
        <w:tc>
          <w:tcPr>
            <w:tcW w:type="dxa" w:w="2448"/>
            <w:vAlign w:val="top"/>
            <w:tcMar>
              <w:top w:w="90" w:type="dxa"/>
              <w:start w:w="110" w:type="dxa"/>
              <w:bottom w:w="90" w:type="dxa"/>
              <w:end w:w="110" w:type="dxa"/>
            </w:tcMar>
          </w:tcPr>
          <w:p>
            <w:pPr>
              <w:spacing w:after="0"/>
            </w:pPr>
            <w:r>
              <w:rPr>
                <w:sz w:val="16"/>
              </w:rPr>
              <w:t>original_url</w:t>
            </w:r>
          </w:p>
        </w:tc>
        <w:tc>
          <w:tcPr>
            <w:tcW w:type="dxa" w:w="6912"/>
            <w:vAlign w:val="top"/>
            <w:tcMar>
              <w:top w:w="90" w:type="dxa"/>
              <w:start w:w="110" w:type="dxa"/>
              <w:bottom w:w="90" w:type="dxa"/>
              <w:end w:w="110" w:type="dxa"/>
            </w:tcMar>
          </w:tcPr>
          <w:p>
            <w:pPr>
              <w:spacing w:after="0"/>
            </w:pPr>
            <w:r>
              <w:rPr>
                <w:sz w:val="16"/>
              </w:rPr>
              <w:t>URL as received.</w:t>
            </w:r>
          </w:p>
        </w:tc>
      </w:tr>
      <w:tr>
        <w:tc>
          <w:tcPr>
            <w:tcW w:type="dxa" w:w="2448"/>
            <w:vAlign w:val="top"/>
            <w:tcMar>
              <w:top w:w="90" w:type="dxa"/>
              <w:start w:w="110" w:type="dxa"/>
              <w:bottom w:w="90" w:type="dxa"/>
              <w:end w:w="110" w:type="dxa"/>
            </w:tcMar>
          </w:tcPr>
          <w:p>
            <w:pPr>
              <w:spacing w:after="0"/>
            </w:pPr>
            <w:r>
              <w:rPr>
                <w:sz w:val="16"/>
              </w:rPr>
              <w:t>resolved_direct_url</w:t>
            </w:r>
          </w:p>
        </w:tc>
        <w:tc>
          <w:tcPr>
            <w:tcW w:type="dxa" w:w="6912"/>
            <w:vAlign w:val="top"/>
            <w:tcMar>
              <w:top w:w="90" w:type="dxa"/>
              <w:start w:w="110" w:type="dxa"/>
              <w:bottom w:w="90" w:type="dxa"/>
              <w:end w:w="110" w:type="dxa"/>
            </w:tcMar>
          </w:tcPr>
          <w:p>
            <w:pPr>
              <w:spacing w:after="0"/>
            </w:pPr>
            <w:r>
              <w:rPr>
                <w:sz w:val="16"/>
              </w:rPr>
              <w:t>Final direct article URL.</w:t>
            </w:r>
          </w:p>
        </w:tc>
      </w:tr>
      <w:tr>
        <w:tc>
          <w:tcPr>
            <w:tcW w:type="dxa" w:w="2448"/>
            <w:vAlign w:val="top"/>
            <w:tcMar>
              <w:top w:w="90" w:type="dxa"/>
              <w:start w:w="110" w:type="dxa"/>
              <w:bottom w:w="90" w:type="dxa"/>
              <w:end w:w="110" w:type="dxa"/>
            </w:tcMar>
          </w:tcPr>
          <w:p>
            <w:pPr>
              <w:spacing w:after="0"/>
            </w:pPr>
            <w:r>
              <w:rPr>
                <w:sz w:val="16"/>
              </w:rPr>
              <w:t>final_decision</w:t>
            </w:r>
          </w:p>
        </w:tc>
        <w:tc>
          <w:tcPr>
            <w:tcW w:type="dxa" w:w="6912"/>
            <w:vAlign w:val="top"/>
            <w:tcMar>
              <w:top w:w="90" w:type="dxa"/>
              <w:start w:w="110" w:type="dxa"/>
              <w:bottom w:w="90" w:type="dxa"/>
              <w:end w:w="110" w:type="dxa"/>
            </w:tcMar>
          </w:tcPr>
          <w:p>
            <w:pPr>
              <w:spacing w:after="0"/>
            </w:pPr>
            <w:r>
              <w:rPr>
                <w:sz w:val="16"/>
              </w:rPr>
              <w:t>INCLUDED, EXCLUDED, MERGED or UNRESOLVED.</w:t>
            </w:r>
          </w:p>
        </w:tc>
      </w:tr>
      <w:tr>
        <w:tc>
          <w:tcPr>
            <w:tcW w:type="dxa" w:w="2448"/>
            <w:vAlign w:val="top"/>
            <w:tcMar>
              <w:top w:w="90" w:type="dxa"/>
              <w:start w:w="110" w:type="dxa"/>
              <w:bottom w:w="90" w:type="dxa"/>
              <w:end w:w="110" w:type="dxa"/>
            </w:tcMar>
          </w:tcPr>
          <w:p>
            <w:pPr>
              <w:spacing w:after="0"/>
            </w:pPr>
            <w:r>
              <w:rPr>
                <w:sz w:val="16"/>
              </w:rPr>
              <w:t>decision_reason</w:t>
            </w:r>
          </w:p>
        </w:tc>
        <w:tc>
          <w:tcPr>
            <w:tcW w:type="dxa" w:w="6912"/>
            <w:vAlign w:val="top"/>
            <w:tcMar>
              <w:top w:w="90" w:type="dxa"/>
              <w:start w:w="110" w:type="dxa"/>
              <w:bottom w:w="90" w:type="dxa"/>
              <w:end w:w="110" w:type="dxa"/>
            </w:tcMar>
          </w:tcPr>
          <w:p>
            <w:pPr>
              <w:spacing w:after="0"/>
            </w:pPr>
            <w:r>
              <w:rPr>
                <w:sz w:val="16"/>
              </w:rPr>
              <w:t>Specific rationale.</w:t>
            </w:r>
          </w:p>
        </w:tc>
      </w:tr>
      <w:tr>
        <w:tc>
          <w:tcPr>
            <w:tcW w:type="dxa" w:w="2448"/>
            <w:vAlign w:val="top"/>
            <w:tcMar>
              <w:top w:w="90" w:type="dxa"/>
              <w:start w:w="110" w:type="dxa"/>
              <w:bottom w:w="90" w:type="dxa"/>
              <w:end w:w="110" w:type="dxa"/>
            </w:tcMar>
          </w:tcPr>
          <w:p>
            <w:pPr>
              <w:spacing w:after="0"/>
            </w:pPr>
            <w:r>
              <w:rPr>
                <w:sz w:val="16"/>
              </w:rPr>
              <w:t>final_item_id</w:t>
            </w:r>
          </w:p>
        </w:tc>
        <w:tc>
          <w:tcPr>
            <w:tcW w:type="dxa" w:w="6912"/>
            <w:vAlign w:val="top"/>
            <w:tcMar>
              <w:top w:w="90" w:type="dxa"/>
              <w:start w:w="110" w:type="dxa"/>
              <w:bottom w:w="90" w:type="dxa"/>
              <w:end w:w="110" w:type="dxa"/>
            </w:tcMar>
          </w:tcPr>
          <w:p>
            <w:pPr>
              <w:spacing w:after="0"/>
            </w:pPr>
            <w:r>
              <w:rPr>
                <w:sz w:val="16"/>
              </w:rPr>
              <w:t>Identifier of final bullet/entry, when applicable.</w:t>
            </w:r>
          </w:p>
        </w:tc>
      </w:tr>
      <w:tr>
        <w:tc>
          <w:tcPr>
            <w:tcW w:type="dxa" w:w="2448"/>
            <w:vAlign w:val="top"/>
            <w:tcMar>
              <w:top w:w="90" w:type="dxa"/>
              <w:start w:w="110" w:type="dxa"/>
              <w:bottom w:w="90" w:type="dxa"/>
              <w:end w:w="110" w:type="dxa"/>
            </w:tcMar>
          </w:tcPr>
          <w:p>
            <w:pPr>
              <w:spacing w:after="0"/>
            </w:pPr>
            <w:r>
              <w:rPr>
                <w:sz w:val="16"/>
              </w:rPr>
              <w:t>cluster_id</w:t>
            </w:r>
          </w:p>
        </w:tc>
        <w:tc>
          <w:tcPr>
            <w:tcW w:type="dxa" w:w="6912"/>
            <w:vAlign w:val="top"/>
            <w:tcMar>
              <w:top w:w="90" w:type="dxa"/>
              <w:start w:w="110" w:type="dxa"/>
              <w:bottom w:w="90" w:type="dxa"/>
              <w:end w:w="110" w:type="dxa"/>
            </w:tcMar>
          </w:tcPr>
          <w:p>
            <w:pPr>
              <w:spacing w:after="0"/>
            </w:pPr>
            <w:r>
              <w:rPr>
                <w:sz w:val="16"/>
              </w:rPr>
              <w:t>Story cluster identifier.</w:t>
            </w:r>
          </w:p>
        </w:tc>
      </w:tr>
      <w:tr>
        <w:tc>
          <w:tcPr>
            <w:tcW w:type="dxa" w:w="2448"/>
            <w:vAlign w:val="top"/>
            <w:tcMar>
              <w:top w:w="90" w:type="dxa"/>
              <w:start w:w="110" w:type="dxa"/>
              <w:bottom w:w="90" w:type="dxa"/>
              <w:end w:w="110" w:type="dxa"/>
            </w:tcMar>
          </w:tcPr>
          <w:p>
            <w:pPr>
              <w:spacing w:after="0"/>
            </w:pPr>
            <w:r>
              <w:rPr>
                <w:sz w:val="16"/>
              </w:rPr>
              <w:t>un_protected</w:t>
            </w:r>
          </w:p>
        </w:tc>
        <w:tc>
          <w:tcPr>
            <w:tcW w:type="dxa" w:w="6912"/>
            <w:vAlign w:val="top"/>
            <w:tcMar>
              <w:top w:w="90" w:type="dxa"/>
              <w:start w:w="110" w:type="dxa"/>
              <w:bottom w:w="90" w:type="dxa"/>
              <w:end w:w="110" w:type="dxa"/>
            </w:tcMar>
          </w:tcPr>
          <w:p>
            <w:pPr>
              <w:spacing w:after="0"/>
            </w:pPr>
            <w:r>
              <w:rPr>
                <w:sz w:val="16"/>
              </w:rPr>
              <w:t>TRUE/FALSE.</w:t>
            </w:r>
          </w:p>
        </w:tc>
      </w:tr>
      <w:tr>
        <w:tc>
          <w:tcPr>
            <w:tcW w:type="dxa" w:w="2448"/>
            <w:vAlign w:val="top"/>
            <w:tcMar>
              <w:top w:w="90" w:type="dxa"/>
              <w:start w:w="110" w:type="dxa"/>
              <w:bottom w:w="90" w:type="dxa"/>
              <w:end w:w="110" w:type="dxa"/>
            </w:tcMar>
          </w:tcPr>
          <w:p>
            <w:pPr>
              <w:spacing w:after="0"/>
            </w:pPr>
            <w:r>
              <w:rPr>
                <w:sz w:val="16"/>
              </w:rPr>
              <w:t>verification_notes</w:t>
            </w:r>
          </w:p>
        </w:tc>
        <w:tc>
          <w:tcPr>
            <w:tcW w:type="dxa" w:w="6912"/>
            <w:vAlign w:val="top"/>
            <w:tcMar>
              <w:top w:w="90" w:type="dxa"/>
              <w:start w:w="110" w:type="dxa"/>
              <w:bottom w:w="90" w:type="dxa"/>
              <w:end w:w="110" w:type="dxa"/>
            </w:tcMar>
          </w:tcPr>
          <w:p>
            <w:pPr>
              <w:spacing w:after="0"/>
            </w:pPr>
            <w:r>
              <w:rPr>
                <w:sz w:val="16"/>
              </w:rPr>
              <w:t>Evidence and exceptions.</w:t>
            </w:r>
          </w:p>
        </w:tc>
      </w:tr>
    </w:tbl>
    <w:p>
      <w:pPr>
        <w:pStyle w:val="Heading1"/>
        <w:keepNext/>
      </w:pPr>
      <w:r>
        <w:rPr>
          <w:rFonts w:ascii="Calibri" w:hAnsi="Calibri"/>
        </w:rPr>
        <w:t>21. Protected United Nations workflow</w:t>
      </w:r>
    </w:p>
    <w:p>
      <w:r>
        <w:rPr>
          <w:rFonts w:ascii="Calibri" w:hAnsi="Calibri"/>
        </w:rPr>
        <w:t>UN coverage must be identified and locked before ordinary duplicate analysis. The general deduplication process must never run first.</w:t>
      </w:r>
    </w:p>
    <w:p>
      <w:pPr>
        <w:pStyle w:val="Heading2"/>
        <w:keepNext/>
      </w:pPr>
      <w:r>
        <w:rPr>
          <w:rFonts w:ascii="Calibri" w:hAnsi="Calibri"/>
        </w:rPr>
        <w:t>21.1 UN identification and locking</w:t>
      </w:r>
    </w:p>
    <w:p>
      <w:pPr>
        <w:pStyle w:val="ListBullet"/>
      </w:pPr>
      <w:r>
        <w:rPr>
          <w:rFonts w:ascii="Calibri" w:hAnsi="Calibri"/>
        </w:rPr>
        <w:t>Scan every record for UNSMIL, SRSG, DSRSG, UN Security Council, UN News and all UN-agency references before clustering.</w:t>
      </w:r>
    </w:p>
    <w:p>
      <w:pPr>
        <w:pStyle w:val="ListBullet"/>
      </w:pPr>
      <w:r>
        <w:rPr>
          <w:rFonts w:ascii="Calibri" w:hAnsi="Calibri"/>
        </w:rPr>
        <w:t>Mark each qualifying record UN_PROTECTED = TRUE.</w:t>
      </w:r>
    </w:p>
    <w:p>
      <w:pPr>
        <w:pStyle w:val="ListBullet"/>
      </w:pPr>
      <w:r>
        <w:rPr>
          <w:rFonts w:ascii="Calibri" w:hAnsi="Calibri"/>
        </w:rPr>
        <w:t>Add every protected record to un_inventory.csv or an equivalent structured table.</w:t>
      </w:r>
    </w:p>
    <w:p>
      <w:pPr>
        <w:pStyle w:val="ListBullet"/>
      </w:pPr>
      <w:r>
        <w:rPr>
          <w:rFonts w:ascii="Calibri" w:hAnsi="Calibri"/>
        </w:rPr>
        <w:t>Prevent protected records from being assigned to ordinary duplicate-removal code paths.</w:t>
      </w:r>
    </w:p>
    <w:p>
      <w:pPr>
        <w:pStyle w:val="ListBullet"/>
      </w:pPr>
      <w:r>
        <w:rPr>
          <w:rFonts w:ascii="Calibri" w:hAnsi="Calibri"/>
        </w:rPr>
        <w:t>Review political reactions to UN processes manually; their correct section may be Politics, but their existence must remain protected from silent deletion.</w:t>
      </w:r>
    </w:p>
    <w:p>
      <w:pPr>
        <w:pStyle w:val="Heading2"/>
        <w:keepNext/>
      </w:pPr>
      <w:r>
        <w:rPr>
          <w:rFonts w:ascii="Calibri" w:hAnsi="Calibri"/>
        </w:rPr>
        <w:t>21.2 Separate-bullet enforcement</w:t>
      </w:r>
    </w:p>
    <w:tbl>
      <w:tblPr>
        <w:tblStyle w:val="TableGrid"/>
        <w:tblW w:type="auto" w:w="0"/>
        <w:jc w:val="center"/>
        <w:tblLook w:firstColumn="1" w:firstRow="1" w:lastColumn="0" w:lastRow="0" w:noHBand="0" w:noVBand="1" w:val="04A0"/>
      </w:tblPr>
      <w:tblGrid>
        <w:gridCol w:w="9994"/>
      </w:tblGrid>
      <w:tr>
        <w:tc>
          <w:tcPr>
            <w:tcW w:type="dxa" w:w="9994"/>
            <w:shd w:fill="EAF2F4"/>
            <w:tcMar>
              <w:top w:w="120" w:type="dxa"/>
              <w:start w:w="140" w:type="dxa"/>
              <w:bottom w:w="120" w:type="dxa"/>
              <w:end w:w="140" w:type="dxa"/>
            </w:tcMar>
          </w:tcPr>
          <w:p>
            <w:pPr>
              <w:spacing w:after="80"/>
            </w:pPr>
            <w:r>
              <w:rPr>
                <w:b/>
                <w:sz w:val="22"/>
              </w:rPr>
              <w:t>Mandatory UN output rule</w:t>
            </w:r>
          </w:p>
          <w:p>
            <w:pPr>
              <w:spacing w:after="0"/>
            </w:pPr>
            <w:r>
              <w:t>Each distinct UN-related article must appear as a separate bullet with its own source hyperlink. Multiple UN outlets must not be placed after one combined generic headline merely because they cover the same event.</w:t>
            </w:r>
          </w:p>
        </w:tc>
      </w:tr>
    </w:tbl>
    <w:p>
      <w:pPr>
        <w:pStyle w:val="ListBullet"/>
      </w:pPr>
      <w:r>
        <w:rPr>
          <w:rFonts w:ascii="Calibri" w:hAnsi="Calibri"/>
        </w:rPr>
        <w:t>One UN article URL = one auditable source record.</w:t>
      </w:r>
    </w:p>
    <w:p>
      <w:pPr>
        <w:pStyle w:val="ListBullet"/>
      </w:pPr>
      <w:r>
        <w:rPr>
          <w:rFonts w:ascii="Calibri" w:hAnsi="Calibri"/>
        </w:rPr>
        <w:t>One distinct UN article/framing = one final bullet.</w:t>
      </w:r>
    </w:p>
    <w:p>
      <w:pPr>
        <w:pStyle w:val="ListBullet"/>
      </w:pPr>
      <w:r>
        <w:rPr>
          <w:rFonts w:ascii="Calibri" w:hAnsi="Calibri"/>
        </w:rPr>
        <w:t>A UN bullet normally contains one source hyperlink only.</w:t>
      </w:r>
    </w:p>
    <w:p>
      <w:pPr>
        <w:pStyle w:val="ListBullet"/>
      </w:pPr>
      <w:r>
        <w:rPr>
          <w:rFonts w:ascii="Calibri" w:hAnsi="Calibri"/>
        </w:rPr>
        <w:t>Different articles from the same outlet remain separate when they have different article pages, headlines, facts, statements or framing.</w:t>
      </w:r>
    </w:p>
    <w:p>
      <w:pPr>
        <w:pStyle w:val="ListBullet"/>
      </w:pPr>
      <w:r>
        <w:rPr>
          <w:rFonts w:ascii="Calibri" w:hAnsi="Calibri"/>
        </w:rPr>
        <w:t>Only an exact repeated URL or a demonstrably literal mirror of the same source page may be collapsed, and the audit table must document the exception.</w:t>
      </w:r>
    </w:p>
    <w:p>
      <w:pPr>
        <w:pStyle w:val="ListBullet"/>
      </w:pPr>
      <w:r>
        <w:rPr>
          <w:rFonts w:ascii="Calibri" w:hAnsi="Calibri"/>
        </w:rPr>
        <w:t>Structured Dialogue articles directly reporting UNSMIL activity belong under United Nations; political commentary about the process may remain under Politics but stays separate.</w:t>
      </w:r>
    </w:p>
    <w:p>
      <w:pPr>
        <w:pStyle w:val="Heading2"/>
        <w:keepNext/>
      </w:pPr>
      <w:r>
        <w:rPr>
          <w:rFonts w:ascii="Calibri" w:hAnsi="Calibri"/>
        </w:rPr>
        <w:t>21.3 UN inventory schema and count test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D9E6EA"/>
            <w:vAlign w:val="center"/>
            <w:tcMar>
              <w:top w:w="90" w:type="dxa"/>
              <w:start w:w="110" w:type="dxa"/>
              <w:bottom w:w="90" w:type="dxa"/>
              <w:end w:w="110" w:type="dxa"/>
            </w:tcMar>
          </w:tcPr>
          <w:p>
            <w:pPr>
              <w:jc w:val="center"/>
            </w:pPr>
            <w:r>
              <w:rPr>
                <w:b/>
                <w:sz w:val="16"/>
              </w:rPr>
              <w:t>Field</w:t>
            </w:r>
          </w:p>
        </w:tc>
        <w:tc>
          <w:tcPr>
            <w:tcW w:type="dxa" w:w="6984"/>
            <w:shd w:fill="D9E6EA"/>
            <w:vAlign w:val="center"/>
            <w:tcMar>
              <w:top w:w="90" w:type="dxa"/>
              <w:start w:w="110" w:type="dxa"/>
              <w:bottom w:w="90" w:type="dxa"/>
              <w:end w:w="110" w:type="dxa"/>
            </w:tcMar>
          </w:tcPr>
          <w:p>
            <w:pPr>
              <w:jc w:val="center"/>
            </w:pPr>
            <w:r>
              <w:rPr>
                <w:b/>
                <w:sz w:val="16"/>
              </w:rPr>
              <w:t>Purpose</w:t>
            </w:r>
          </w:p>
        </w:tc>
      </w:tr>
      <w:tr>
        <w:tc>
          <w:tcPr>
            <w:tcW w:type="dxa" w:w="2376"/>
            <w:vAlign w:val="top"/>
            <w:tcMar>
              <w:top w:w="90" w:type="dxa"/>
              <w:start w:w="110" w:type="dxa"/>
              <w:bottom w:w="90" w:type="dxa"/>
              <w:end w:w="110" w:type="dxa"/>
            </w:tcMar>
          </w:tcPr>
          <w:p>
            <w:pPr>
              <w:spacing w:after="0"/>
            </w:pPr>
            <w:r>
              <w:rPr>
                <w:sz w:val="16"/>
              </w:rPr>
              <w:t>record_id</w:t>
            </w:r>
          </w:p>
        </w:tc>
        <w:tc>
          <w:tcPr>
            <w:tcW w:type="dxa" w:w="6984"/>
            <w:vAlign w:val="top"/>
            <w:tcMar>
              <w:top w:w="90" w:type="dxa"/>
              <w:start w:w="110" w:type="dxa"/>
              <w:bottom w:w="90" w:type="dxa"/>
              <w:end w:w="110" w:type="dxa"/>
            </w:tcMar>
          </w:tcPr>
          <w:p>
            <w:pPr>
              <w:spacing w:after="0"/>
            </w:pPr>
            <w:r>
              <w:rPr>
                <w:sz w:val="16"/>
              </w:rPr>
              <w:t>Links the UN item to the master record set.</w:t>
            </w:r>
          </w:p>
        </w:tc>
      </w:tr>
      <w:tr>
        <w:tc>
          <w:tcPr>
            <w:tcW w:type="dxa" w:w="2376"/>
            <w:vAlign w:val="top"/>
            <w:tcMar>
              <w:top w:w="90" w:type="dxa"/>
              <w:start w:w="110" w:type="dxa"/>
              <w:bottom w:w="90" w:type="dxa"/>
              <w:end w:w="110" w:type="dxa"/>
            </w:tcMar>
          </w:tcPr>
          <w:p>
            <w:pPr>
              <w:spacing w:after="0"/>
            </w:pPr>
            <w:r>
              <w:rPr>
                <w:sz w:val="16"/>
              </w:rPr>
              <w:t>source</w:t>
            </w:r>
          </w:p>
        </w:tc>
        <w:tc>
          <w:tcPr>
            <w:tcW w:type="dxa" w:w="6984"/>
            <w:vAlign w:val="top"/>
            <w:tcMar>
              <w:top w:w="90" w:type="dxa"/>
              <w:start w:w="110" w:type="dxa"/>
              <w:bottom w:w="90" w:type="dxa"/>
              <w:end w:w="110" w:type="dxa"/>
            </w:tcMar>
          </w:tcPr>
          <w:p>
            <w:pPr>
              <w:spacing w:after="0"/>
            </w:pPr>
            <w:r>
              <w:rPr>
                <w:sz w:val="16"/>
              </w:rPr>
              <w:t>Outlet name.</w:t>
            </w:r>
          </w:p>
        </w:tc>
      </w:tr>
      <w:tr>
        <w:tc>
          <w:tcPr>
            <w:tcW w:type="dxa" w:w="2376"/>
            <w:vAlign w:val="top"/>
            <w:tcMar>
              <w:top w:w="90" w:type="dxa"/>
              <w:start w:w="110" w:type="dxa"/>
              <w:bottom w:w="90" w:type="dxa"/>
              <w:end w:w="110" w:type="dxa"/>
            </w:tcMar>
          </w:tcPr>
          <w:p>
            <w:pPr>
              <w:spacing w:after="0"/>
            </w:pPr>
            <w:r>
              <w:rPr>
                <w:sz w:val="16"/>
              </w:rPr>
              <w:t>direct_url</w:t>
            </w:r>
          </w:p>
        </w:tc>
        <w:tc>
          <w:tcPr>
            <w:tcW w:type="dxa" w:w="6984"/>
            <w:vAlign w:val="top"/>
            <w:tcMar>
              <w:top w:w="90" w:type="dxa"/>
              <w:start w:w="110" w:type="dxa"/>
              <w:bottom w:w="90" w:type="dxa"/>
              <w:end w:w="110" w:type="dxa"/>
            </w:tcMar>
          </w:tcPr>
          <w:p>
            <w:pPr>
              <w:spacing w:after="0"/>
            </w:pPr>
            <w:r>
              <w:rPr>
                <w:sz w:val="16"/>
              </w:rPr>
              <w:t>Verified direct article URL.</w:t>
            </w:r>
          </w:p>
        </w:tc>
      </w:tr>
      <w:tr>
        <w:tc>
          <w:tcPr>
            <w:tcW w:type="dxa" w:w="2376"/>
            <w:vAlign w:val="top"/>
            <w:tcMar>
              <w:top w:w="90" w:type="dxa"/>
              <w:start w:w="110" w:type="dxa"/>
              <w:bottom w:w="90" w:type="dxa"/>
              <w:end w:w="110" w:type="dxa"/>
            </w:tcMar>
          </w:tcPr>
          <w:p>
            <w:pPr>
              <w:spacing w:after="0"/>
            </w:pPr>
            <w:r>
              <w:rPr>
                <w:sz w:val="16"/>
              </w:rPr>
              <w:t>publication_date</w:t>
            </w:r>
          </w:p>
        </w:tc>
        <w:tc>
          <w:tcPr>
            <w:tcW w:type="dxa" w:w="6984"/>
            <w:vAlign w:val="top"/>
            <w:tcMar>
              <w:top w:w="90" w:type="dxa"/>
              <w:start w:w="110" w:type="dxa"/>
              <w:bottom w:w="90" w:type="dxa"/>
              <w:end w:w="110" w:type="dxa"/>
            </w:tcMar>
          </w:tcPr>
          <w:p>
            <w:pPr>
              <w:spacing w:after="0"/>
            </w:pPr>
            <w:r>
              <w:rPr>
                <w:sz w:val="16"/>
              </w:rPr>
              <w:t>Verified article publication date.</w:t>
            </w:r>
          </w:p>
        </w:tc>
      </w:tr>
      <w:tr>
        <w:tc>
          <w:tcPr>
            <w:tcW w:type="dxa" w:w="2376"/>
            <w:vAlign w:val="top"/>
            <w:tcMar>
              <w:top w:w="90" w:type="dxa"/>
              <w:start w:w="110" w:type="dxa"/>
              <w:bottom w:w="90" w:type="dxa"/>
              <w:end w:w="110" w:type="dxa"/>
            </w:tcMar>
          </w:tcPr>
          <w:p>
            <w:pPr>
              <w:spacing w:after="0"/>
            </w:pPr>
            <w:r>
              <w:rPr>
                <w:sz w:val="16"/>
              </w:rPr>
              <w:t>un_entity</w:t>
            </w:r>
          </w:p>
        </w:tc>
        <w:tc>
          <w:tcPr>
            <w:tcW w:type="dxa" w:w="6984"/>
            <w:vAlign w:val="top"/>
            <w:tcMar>
              <w:top w:w="90" w:type="dxa"/>
              <w:start w:w="110" w:type="dxa"/>
              <w:bottom w:w="90" w:type="dxa"/>
              <w:end w:w="110" w:type="dxa"/>
            </w:tcMar>
          </w:tcPr>
          <w:p>
            <w:pPr>
              <w:spacing w:after="0"/>
            </w:pPr>
            <w:r>
              <w:rPr>
                <w:sz w:val="16"/>
              </w:rPr>
              <w:t>UNSMIL, SRSG, UN Security Council, UNHCR, IOM, UNICEF, UNDP, etc.</w:t>
            </w:r>
          </w:p>
        </w:tc>
      </w:tr>
      <w:tr>
        <w:tc>
          <w:tcPr>
            <w:tcW w:type="dxa" w:w="2376"/>
            <w:vAlign w:val="top"/>
            <w:tcMar>
              <w:top w:w="90" w:type="dxa"/>
              <w:start w:w="110" w:type="dxa"/>
              <w:bottom w:w="90" w:type="dxa"/>
              <w:end w:w="110" w:type="dxa"/>
            </w:tcMar>
          </w:tcPr>
          <w:p>
            <w:pPr>
              <w:spacing w:after="0"/>
            </w:pPr>
            <w:r>
              <w:rPr>
                <w:sz w:val="16"/>
              </w:rPr>
              <w:t>un_event</w:t>
            </w:r>
          </w:p>
        </w:tc>
        <w:tc>
          <w:tcPr>
            <w:tcW w:type="dxa" w:w="6984"/>
            <w:vAlign w:val="top"/>
            <w:tcMar>
              <w:top w:w="90" w:type="dxa"/>
              <w:start w:w="110" w:type="dxa"/>
              <w:bottom w:w="90" w:type="dxa"/>
              <w:end w:w="110" w:type="dxa"/>
            </w:tcMar>
          </w:tcPr>
          <w:p>
            <w:pPr>
              <w:spacing w:after="0"/>
            </w:pPr>
            <w:r>
              <w:rPr>
                <w:sz w:val="16"/>
              </w:rPr>
              <w:t>Structured Dialogue, Security Council briefing, bilateral meeting, agency activity, etc.</w:t>
            </w:r>
          </w:p>
        </w:tc>
      </w:tr>
      <w:tr>
        <w:tc>
          <w:tcPr>
            <w:tcW w:type="dxa" w:w="2376"/>
            <w:vAlign w:val="top"/>
            <w:tcMar>
              <w:top w:w="90" w:type="dxa"/>
              <w:start w:w="110" w:type="dxa"/>
              <w:bottom w:w="90" w:type="dxa"/>
              <w:end w:w="110" w:type="dxa"/>
            </w:tcMar>
          </w:tcPr>
          <w:p>
            <w:pPr>
              <w:spacing w:after="0"/>
            </w:pPr>
            <w:r>
              <w:rPr>
                <w:sz w:val="16"/>
              </w:rPr>
              <w:t>distinct_framing</w:t>
            </w:r>
          </w:p>
        </w:tc>
        <w:tc>
          <w:tcPr>
            <w:tcW w:type="dxa" w:w="6984"/>
            <w:vAlign w:val="top"/>
            <w:tcMar>
              <w:top w:w="90" w:type="dxa"/>
              <w:start w:w="110" w:type="dxa"/>
              <w:bottom w:w="90" w:type="dxa"/>
              <w:end w:w="110" w:type="dxa"/>
            </w:tcMar>
          </w:tcPr>
          <w:p>
            <w:pPr>
              <w:spacing w:after="0"/>
            </w:pPr>
            <w:r>
              <w:rPr>
                <w:sz w:val="16"/>
              </w:rPr>
              <w:t>The specific angle that justifies the bullet.</w:t>
            </w:r>
          </w:p>
        </w:tc>
      </w:tr>
      <w:tr>
        <w:tc>
          <w:tcPr>
            <w:tcW w:type="dxa" w:w="2376"/>
            <w:vAlign w:val="top"/>
            <w:tcMar>
              <w:top w:w="90" w:type="dxa"/>
              <w:start w:w="110" w:type="dxa"/>
              <w:bottom w:w="90" w:type="dxa"/>
              <w:end w:w="110" w:type="dxa"/>
            </w:tcMar>
          </w:tcPr>
          <w:p>
            <w:pPr>
              <w:spacing w:after="0"/>
            </w:pPr>
            <w:r>
              <w:rPr>
                <w:sz w:val="16"/>
              </w:rPr>
              <w:t>final_section</w:t>
            </w:r>
          </w:p>
        </w:tc>
        <w:tc>
          <w:tcPr>
            <w:tcW w:type="dxa" w:w="6984"/>
            <w:vAlign w:val="top"/>
            <w:tcMar>
              <w:top w:w="90" w:type="dxa"/>
              <w:start w:w="110" w:type="dxa"/>
              <w:bottom w:w="90" w:type="dxa"/>
              <w:end w:w="110" w:type="dxa"/>
            </w:tcMar>
          </w:tcPr>
          <w:p>
            <w:pPr>
              <w:spacing w:after="0"/>
            </w:pPr>
            <w:r>
              <w:rPr>
                <w:sz w:val="16"/>
              </w:rPr>
              <w:t>United Nations or another justified section.</w:t>
            </w:r>
          </w:p>
        </w:tc>
      </w:tr>
      <w:tr>
        <w:tc>
          <w:tcPr>
            <w:tcW w:type="dxa" w:w="2376"/>
            <w:vAlign w:val="top"/>
            <w:tcMar>
              <w:top w:w="90" w:type="dxa"/>
              <w:start w:w="110" w:type="dxa"/>
              <w:bottom w:w="90" w:type="dxa"/>
              <w:end w:w="110" w:type="dxa"/>
            </w:tcMar>
          </w:tcPr>
          <w:p>
            <w:pPr>
              <w:spacing w:after="0"/>
            </w:pPr>
            <w:r>
              <w:rPr>
                <w:sz w:val="16"/>
              </w:rPr>
              <w:t>final_subsection</w:t>
            </w:r>
          </w:p>
        </w:tc>
        <w:tc>
          <w:tcPr>
            <w:tcW w:type="dxa" w:w="6984"/>
            <w:vAlign w:val="top"/>
            <w:tcMar>
              <w:top w:w="90" w:type="dxa"/>
              <w:start w:w="110" w:type="dxa"/>
              <w:bottom w:w="90" w:type="dxa"/>
              <w:end w:w="110" w:type="dxa"/>
            </w:tcMar>
          </w:tcPr>
          <w:p>
            <w:pPr>
              <w:spacing w:after="0"/>
            </w:pPr>
            <w:r>
              <w:rPr>
                <w:sz w:val="16"/>
              </w:rPr>
              <w:t>Event-based subsection.</w:t>
            </w:r>
          </w:p>
        </w:tc>
      </w:tr>
      <w:tr>
        <w:tc>
          <w:tcPr>
            <w:tcW w:type="dxa" w:w="2376"/>
            <w:vAlign w:val="top"/>
            <w:tcMar>
              <w:top w:w="90" w:type="dxa"/>
              <w:start w:w="110" w:type="dxa"/>
              <w:bottom w:w="90" w:type="dxa"/>
              <w:end w:w="110" w:type="dxa"/>
            </w:tcMar>
          </w:tcPr>
          <w:p>
            <w:pPr>
              <w:spacing w:after="0"/>
            </w:pPr>
            <w:r>
              <w:rPr>
                <w:sz w:val="16"/>
              </w:rPr>
              <w:t>final_item_id</w:t>
            </w:r>
          </w:p>
        </w:tc>
        <w:tc>
          <w:tcPr>
            <w:tcW w:type="dxa" w:w="6984"/>
            <w:vAlign w:val="top"/>
            <w:tcMar>
              <w:top w:w="90" w:type="dxa"/>
              <w:start w:w="110" w:type="dxa"/>
              <w:bottom w:w="90" w:type="dxa"/>
              <w:end w:w="110" w:type="dxa"/>
            </w:tcMar>
          </w:tcPr>
          <w:p>
            <w:pPr>
              <w:spacing w:after="0"/>
            </w:pPr>
            <w:r>
              <w:rPr>
                <w:sz w:val="16"/>
              </w:rPr>
              <w:t>Final bullet identifier.</w:t>
            </w:r>
          </w:p>
        </w:tc>
      </w:tr>
      <w:tr>
        <w:tc>
          <w:tcPr>
            <w:tcW w:type="dxa" w:w="2376"/>
            <w:vAlign w:val="top"/>
            <w:tcMar>
              <w:top w:w="90" w:type="dxa"/>
              <w:start w:w="110" w:type="dxa"/>
              <w:bottom w:w="90" w:type="dxa"/>
              <w:end w:w="110" w:type="dxa"/>
            </w:tcMar>
          </w:tcPr>
          <w:p>
            <w:pPr>
              <w:spacing w:after="0"/>
            </w:pPr>
            <w:r>
              <w:rPr>
                <w:sz w:val="16"/>
              </w:rPr>
              <w:t>included_status</w:t>
            </w:r>
          </w:p>
        </w:tc>
        <w:tc>
          <w:tcPr>
            <w:tcW w:type="dxa" w:w="6984"/>
            <w:vAlign w:val="top"/>
            <w:tcMar>
              <w:top w:w="90" w:type="dxa"/>
              <w:start w:w="110" w:type="dxa"/>
              <w:bottom w:w="90" w:type="dxa"/>
              <w:end w:w="110" w:type="dxa"/>
            </w:tcMar>
          </w:tcPr>
          <w:p>
            <w:pPr>
              <w:spacing w:after="0"/>
            </w:pPr>
            <w:r>
              <w:rPr>
                <w:sz w:val="16"/>
              </w:rPr>
              <w:t>Must be INCLUDED unless a documented exact-duplicate exception applies.</w:t>
            </w:r>
          </w:p>
        </w:tc>
      </w:tr>
    </w:tbl>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8"/>
              </w:rPr>
              <w:t>VERIFIED_UN_ARTICLE_RECORDS = FINAL_UN_ARTICLE_BULLETS + DOCUMENTED_EXACT_DUPLICATE_EXCEPTIONS</w:t>
            </w:r>
            <w:r>
              <w:br/>
            </w:r>
            <w:r>
              <w:rPr>
                <w:rFonts w:ascii="Consolas" w:hAnsi="Consolas" w:eastAsia="Consolas"/>
                <w:sz w:val="18"/>
              </w:rPr>
            </w:r>
            <w:r>
              <w:br/>
            </w:r>
            <w:r>
              <w:rPr>
                <w:rFonts w:ascii="Consolas" w:hAnsi="Consolas" w:eastAsia="Consolas"/>
                <w:sz w:val="18"/>
              </w:rPr>
              <w:t>For the standard case:</w:t>
            </w:r>
            <w:r>
              <w:br/>
            </w:r>
            <w:r>
              <w:rPr>
                <w:rFonts w:ascii="Consolas" w:hAnsi="Consolas" w:eastAsia="Consolas"/>
                <w:sz w:val="18"/>
              </w:rPr>
              <w:t>VERIFIED_UN_ARTICLE_RECORDS = FINAL_UN_ARTICLE_BULLETS</w:t>
            </w:r>
            <w:r>
              <w:br/>
            </w:r>
            <w:r>
              <w:rPr>
                <w:rFonts w:ascii="Consolas" w:hAnsi="Consolas" w:eastAsia="Consolas"/>
                <w:sz w:val="18"/>
              </w:rPr>
            </w:r>
            <w:r>
              <w:br/>
            </w:r>
            <w:r>
              <w:rPr>
                <w:rFonts w:ascii="Consolas" w:hAnsi="Consolas" w:eastAsia="Consolas"/>
                <w:sz w:val="18"/>
              </w:rPr>
              <w:t>The validator must fail when a protected UN record has no final_item_id.</w:t>
            </w:r>
          </w:p>
        </w:tc>
      </w:tr>
    </w:tbl>
    <w:p>
      <w:pPr>
        <w:pStyle w:val="Heading1"/>
        <w:keepNext/>
      </w:pPr>
      <w:r>
        <w:rPr>
          <w:rFonts w:ascii="Calibri" w:hAnsi="Calibri"/>
        </w:rPr>
        <w:t>22. Structured record model</w:t>
      </w:r>
    </w:p>
    <w:p>
      <w:r>
        <w:rPr>
          <w:rFonts w:ascii="Calibri" w:hAnsi="Calibri"/>
        </w:rPr>
        <w:t>Codex must perform verification and editorial decisions in structured data before generating the DOCX. CSV, JSON or SQLite may be used, provided the fields and auditability are preserved.</w:t>
      </w:r>
    </w:p>
    <w:p>
      <w:pPr>
        <w:pStyle w:val="Heading2"/>
        <w:keepNext/>
      </w:pPr>
      <w:r>
        <w:rPr>
          <w:rFonts w:ascii="Calibri" w:hAnsi="Calibri"/>
        </w:rPr>
        <w:t>22.1 Minimum required fields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shd w:fill="D9E6EA"/>
            <w:vAlign w:val="center"/>
            <w:tcMar>
              <w:top w:w="90" w:type="dxa"/>
              <w:start w:w="110" w:type="dxa"/>
              <w:bottom w:w="90" w:type="dxa"/>
              <w:end w:w="110" w:type="dxa"/>
            </w:tcMar>
          </w:tcPr>
          <w:p>
            <w:pPr>
              <w:jc w:val="center"/>
            </w:pPr>
            <w:r>
              <w:rPr>
                <w:b/>
                <w:sz w:val="15"/>
              </w:rPr>
              <w:t>Field</w:t>
            </w:r>
          </w:p>
        </w:tc>
        <w:tc>
          <w:tcPr>
            <w:tcW w:type="dxa" w:w="6120"/>
            <w:shd w:fill="D9E6EA"/>
            <w:vAlign w:val="center"/>
            <w:tcMar>
              <w:top w:w="90" w:type="dxa"/>
              <w:start w:w="110" w:type="dxa"/>
              <w:bottom w:w="90" w:type="dxa"/>
              <w:end w:w="110" w:type="dxa"/>
            </w:tcMar>
          </w:tcPr>
          <w:p>
            <w:pPr>
              <w:jc w:val="center"/>
            </w:pPr>
            <w:r>
              <w:rPr>
                <w:b/>
                <w:sz w:val="15"/>
              </w:rPr>
              <w:t>Definition</w:t>
            </w:r>
          </w:p>
        </w:tc>
        <w:tc>
          <w:tcPr>
            <w:tcW w:type="dxa" w:w="1080"/>
            <w:shd w:fill="D9E6EA"/>
            <w:vAlign w:val="center"/>
            <w:tcMar>
              <w:top w:w="90" w:type="dxa"/>
              <w:start w:w="110" w:type="dxa"/>
              <w:bottom w:w="90" w:type="dxa"/>
              <w:end w:w="110" w:type="dxa"/>
            </w:tcMar>
          </w:tcPr>
          <w:p>
            <w:pPr>
              <w:jc w:val="center"/>
            </w:pPr>
            <w:r>
              <w:rPr>
                <w:b/>
                <w:sz w:val="15"/>
              </w:rPr>
              <w:t>Type</w:t>
            </w:r>
          </w:p>
        </w:tc>
      </w:tr>
      <w:tr>
        <w:tc>
          <w:tcPr>
            <w:tcW w:type="dxa" w:w="2232"/>
            <w:vAlign w:val="top"/>
            <w:tcMar>
              <w:top w:w="90" w:type="dxa"/>
              <w:start w:w="110" w:type="dxa"/>
              <w:bottom w:w="90" w:type="dxa"/>
              <w:end w:w="110" w:type="dxa"/>
            </w:tcMar>
          </w:tcPr>
          <w:p>
            <w:pPr>
              <w:spacing w:after="0"/>
            </w:pPr>
            <w:r>
              <w:rPr>
                <w:sz w:val="15"/>
              </w:rPr>
              <w:t>record_id</w:t>
            </w:r>
          </w:p>
        </w:tc>
        <w:tc>
          <w:tcPr>
            <w:tcW w:type="dxa" w:w="6120"/>
            <w:vAlign w:val="top"/>
            <w:tcMar>
              <w:top w:w="90" w:type="dxa"/>
              <w:start w:w="110" w:type="dxa"/>
              <w:bottom w:w="90" w:type="dxa"/>
              <w:end w:w="110" w:type="dxa"/>
            </w:tcMar>
          </w:tcPr>
          <w:p>
            <w:pPr>
              <w:spacing w:after="0"/>
            </w:pPr>
            <w:r>
              <w:rPr>
                <w:sz w:val="15"/>
              </w:rPr>
              <w:t>Unique stable identifier.</w:t>
            </w:r>
          </w:p>
        </w:tc>
        <w:tc>
          <w:tcPr>
            <w:tcW w:type="dxa" w:w="1080"/>
            <w:vAlign w:val="top"/>
            <w:tcMar>
              <w:top w:w="90" w:type="dxa"/>
              <w:start w:w="110" w:type="dxa"/>
              <w:bottom w:w="90" w:type="dxa"/>
              <w:end w:w="110" w:type="dxa"/>
            </w:tcMar>
          </w:tcPr>
          <w:p>
            <w:pPr>
              <w:spacing w:after="0"/>
            </w:pPr>
            <w:r>
              <w:rPr>
                <w:sz w:val="15"/>
              </w:rPr>
              <w:t>text</w:t>
            </w:r>
          </w:p>
        </w:tc>
      </w:tr>
      <w:tr>
        <w:tc>
          <w:tcPr>
            <w:tcW w:type="dxa" w:w="2232"/>
            <w:vAlign w:val="top"/>
            <w:tcMar>
              <w:top w:w="90" w:type="dxa"/>
              <w:start w:w="110" w:type="dxa"/>
              <w:bottom w:w="90" w:type="dxa"/>
              <w:end w:w="110" w:type="dxa"/>
            </w:tcMar>
          </w:tcPr>
          <w:p>
            <w:pPr>
              <w:spacing w:after="0"/>
            </w:pPr>
            <w:r>
              <w:rPr>
                <w:sz w:val="15"/>
              </w:rPr>
              <w:t>original_headline</w:t>
            </w:r>
          </w:p>
        </w:tc>
        <w:tc>
          <w:tcPr>
            <w:tcW w:type="dxa" w:w="6120"/>
            <w:vAlign w:val="top"/>
            <w:tcMar>
              <w:top w:w="90" w:type="dxa"/>
              <w:start w:w="110" w:type="dxa"/>
              <w:bottom w:w="90" w:type="dxa"/>
              <w:end w:w="110" w:type="dxa"/>
            </w:tcMar>
          </w:tcPr>
          <w:p>
            <w:pPr>
              <w:spacing w:after="0"/>
            </w:pPr>
            <w:r>
              <w:rPr>
                <w:sz w:val="15"/>
              </w:rPr>
              <w:t>Original source headline.</w:t>
            </w:r>
          </w:p>
        </w:tc>
        <w:tc>
          <w:tcPr>
            <w:tcW w:type="dxa" w:w="1080"/>
            <w:vAlign w:val="top"/>
            <w:tcMar>
              <w:top w:w="90" w:type="dxa"/>
              <w:start w:w="110" w:type="dxa"/>
              <w:bottom w:w="90" w:type="dxa"/>
              <w:end w:w="110" w:type="dxa"/>
            </w:tcMar>
          </w:tcPr>
          <w:p>
            <w:pPr>
              <w:spacing w:after="0"/>
            </w:pPr>
            <w:r>
              <w:rPr>
                <w:sz w:val="15"/>
              </w:rPr>
              <w:t>text</w:t>
            </w:r>
          </w:p>
        </w:tc>
      </w:tr>
      <w:tr>
        <w:tc>
          <w:tcPr>
            <w:tcW w:type="dxa" w:w="2232"/>
            <w:vAlign w:val="top"/>
            <w:tcMar>
              <w:top w:w="90" w:type="dxa"/>
              <w:start w:w="110" w:type="dxa"/>
              <w:bottom w:w="90" w:type="dxa"/>
              <w:end w:w="110" w:type="dxa"/>
            </w:tcMar>
          </w:tcPr>
          <w:p>
            <w:pPr>
              <w:spacing w:after="0"/>
            </w:pPr>
            <w:r>
              <w:rPr>
                <w:sz w:val="15"/>
              </w:rPr>
              <w:t>source_name</w:t>
            </w:r>
          </w:p>
        </w:tc>
        <w:tc>
          <w:tcPr>
            <w:tcW w:type="dxa" w:w="6120"/>
            <w:vAlign w:val="top"/>
            <w:tcMar>
              <w:top w:w="90" w:type="dxa"/>
              <w:start w:w="110" w:type="dxa"/>
              <w:bottom w:w="90" w:type="dxa"/>
              <w:end w:w="110" w:type="dxa"/>
            </w:tcMar>
          </w:tcPr>
          <w:p>
            <w:pPr>
              <w:spacing w:after="0"/>
            </w:pPr>
            <w:r>
              <w:rPr>
                <w:sz w:val="15"/>
              </w:rPr>
              <w:t>Normalised source name.</w:t>
            </w:r>
          </w:p>
        </w:tc>
        <w:tc>
          <w:tcPr>
            <w:tcW w:type="dxa" w:w="1080"/>
            <w:vAlign w:val="top"/>
            <w:tcMar>
              <w:top w:w="90" w:type="dxa"/>
              <w:start w:w="110" w:type="dxa"/>
              <w:bottom w:w="90" w:type="dxa"/>
              <w:end w:w="110" w:type="dxa"/>
            </w:tcMar>
          </w:tcPr>
          <w:p>
            <w:pPr>
              <w:spacing w:after="0"/>
            </w:pPr>
            <w:r>
              <w:rPr>
                <w:sz w:val="15"/>
              </w:rPr>
              <w:t>text</w:t>
            </w:r>
          </w:p>
        </w:tc>
      </w:tr>
      <w:tr>
        <w:tc>
          <w:tcPr>
            <w:tcW w:type="dxa" w:w="2232"/>
            <w:vAlign w:val="top"/>
            <w:tcMar>
              <w:top w:w="90" w:type="dxa"/>
              <w:start w:w="110" w:type="dxa"/>
              <w:bottom w:w="90" w:type="dxa"/>
              <w:end w:w="110" w:type="dxa"/>
            </w:tcMar>
          </w:tcPr>
          <w:p>
            <w:pPr>
              <w:spacing w:after="0"/>
            </w:pPr>
            <w:r>
              <w:rPr>
                <w:sz w:val="15"/>
              </w:rPr>
              <w:t>language</w:t>
            </w:r>
          </w:p>
        </w:tc>
        <w:tc>
          <w:tcPr>
            <w:tcW w:type="dxa" w:w="6120"/>
            <w:vAlign w:val="top"/>
            <w:tcMar>
              <w:top w:w="90" w:type="dxa"/>
              <w:start w:w="110" w:type="dxa"/>
              <w:bottom w:w="90" w:type="dxa"/>
              <w:end w:w="110" w:type="dxa"/>
            </w:tcMar>
          </w:tcPr>
          <w:p>
            <w:pPr>
              <w:spacing w:after="0"/>
            </w:pPr>
            <w:r>
              <w:rPr>
                <w:sz w:val="15"/>
              </w:rPr>
              <w:t>Arabic or English.</w:t>
            </w:r>
          </w:p>
        </w:tc>
        <w:tc>
          <w:tcPr>
            <w:tcW w:type="dxa" w:w="1080"/>
            <w:vAlign w:val="top"/>
            <w:tcMar>
              <w:top w:w="90" w:type="dxa"/>
              <w:start w:w="110" w:type="dxa"/>
              <w:bottom w:w="90" w:type="dxa"/>
              <w:end w:w="110" w:type="dxa"/>
            </w:tcMar>
          </w:tcPr>
          <w:p>
            <w:pPr>
              <w:spacing w:after="0"/>
            </w:pPr>
            <w:r>
              <w:rPr>
                <w:sz w:val="15"/>
              </w:rPr>
              <w:t>enum</w:t>
            </w:r>
          </w:p>
        </w:tc>
      </w:tr>
      <w:tr>
        <w:tc>
          <w:tcPr>
            <w:tcW w:type="dxa" w:w="2232"/>
            <w:vAlign w:val="top"/>
            <w:tcMar>
              <w:top w:w="90" w:type="dxa"/>
              <w:start w:w="110" w:type="dxa"/>
              <w:bottom w:w="90" w:type="dxa"/>
              <w:end w:w="110" w:type="dxa"/>
            </w:tcMar>
          </w:tcPr>
          <w:p>
            <w:pPr>
              <w:spacing w:after="0"/>
            </w:pPr>
            <w:r>
              <w:rPr>
                <w:sz w:val="15"/>
              </w:rPr>
              <w:t>original_url</w:t>
            </w:r>
          </w:p>
        </w:tc>
        <w:tc>
          <w:tcPr>
            <w:tcW w:type="dxa" w:w="6120"/>
            <w:vAlign w:val="top"/>
            <w:tcMar>
              <w:top w:w="90" w:type="dxa"/>
              <w:start w:w="110" w:type="dxa"/>
              <w:bottom w:w="90" w:type="dxa"/>
              <w:end w:w="110" w:type="dxa"/>
            </w:tcMar>
          </w:tcPr>
          <w:p>
            <w:pPr>
              <w:spacing w:after="0"/>
            </w:pPr>
            <w:r>
              <w:rPr>
                <w:sz w:val="15"/>
              </w:rPr>
              <w:t>URL as received.</w:t>
            </w:r>
          </w:p>
        </w:tc>
        <w:tc>
          <w:tcPr>
            <w:tcW w:type="dxa" w:w="1080"/>
            <w:vAlign w:val="top"/>
            <w:tcMar>
              <w:top w:w="90" w:type="dxa"/>
              <w:start w:w="110" w:type="dxa"/>
              <w:bottom w:w="90" w:type="dxa"/>
              <w:end w:w="110" w:type="dxa"/>
            </w:tcMar>
          </w:tcPr>
          <w:p>
            <w:pPr>
              <w:spacing w:after="0"/>
            </w:pPr>
            <w:r>
              <w:rPr>
                <w:sz w:val="15"/>
              </w:rPr>
              <w:t>url</w:t>
            </w:r>
          </w:p>
        </w:tc>
      </w:tr>
      <w:tr>
        <w:tc>
          <w:tcPr>
            <w:tcW w:type="dxa" w:w="2232"/>
            <w:vAlign w:val="top"/>
            <w:tcMar>
              <w:top w:w="90" w:type="dxa"/>
              <w:start w:w="110" w:type="dxa"/>
              <w:bottom w:w="90" w:type="dxa"/>
              <w:end w:w="110" w:type="dxa"/>
            </w:tcMar>
          </w:tcPr>
          <w:p>
            <w:pPr>
              <w:spacing w:after="0"/>
            </w:pPr>
            <w:r>
              <w:rPr>
                <w:sz w:val="15"/>
              </w:rPr>
              <w:t>resolved_direct_url</w:t>
            </w:r>
          </w:p>
        </w:tc>
        <w:tc>
          <w:tcPr>
            <w:tcW w:type="dxa" w:w="6120"/>
            <w:vAlign w:val="top"/>
            <w:tcMar>
              <w:top w:w="90" w:type="dxa"/>
              <w:start w:w="110" w:type="dxa"/>
              <w:bottom w:w="90" w:type="dxa"/>
              <w:end w:w="110" w:type="dxa"/>
            </w:tcMar>
          </w:tcPr>
          <w:p>
            <w:pPr>
              <w:spacing w:after="0"/>
            </w:pPr>
            <w:r>
              <w:rPr>
                <w:sz w:val="15"/>
              </w:rPr>
              <w:t>Verified direct article page.</w:t>
            </w:r>
          </w:p>
        </w:tc>
        <w:tc>
          <w:tcPr>
            <w:tcW w:type="dxa" w:w="1080"/>
            <w:vAlign w:val="top"/>
            <w:tcMar>
              <w:top w:w="90" w:type="dxa"/>
              <w:start w:w="110" w:type="dxa"/>
              <w:bottom w:w="90" w:type="dxa"/>
              <w:end w:w="110" w:type="dxa"/>
            </w:tcMar>
          </w:tcPr>
          <w:p>
            <w:pPr>
              <w:spacing w:after="0"/>
            </w:pPr>
            <w:r>
              <w:rPr>
                <w:sz w:val="15"/>
              </w:rPr>
              <w:t>url</w:t>
            </w:r>
          </w:p>
        </w:tc>
      </w:tr>
      <w:tr>
        <w:tc>
          <w:tcPr>
            <w:tcW w:type="dxa" w:w="2232"/>
            <w:vAlign w:val="top"/>
            <w:tcMar>
              <w:top w:w="90" w:type="dxa"/>
              <w:start w:w="110" w:type="dxa"/>
              <w:bottom w:w="90" w:type="dxa"/>
              <w:end w:w="110" w:type="dxa"/>
            </w:tcMar>
          </w:tcPr>
          <w:p>
            <w:pPr>
              <w:spacing w:after="0"/>
            </w:pPr>
            <w:r>
              <w:rPr>
                <w:sz w:val="15"/>
              </w:rPr>
              <w:t>publication_date</w:t>
            </w:r>
          </w:p>
        </w:tc>
        <w:tc>
          <w:tcPr>
            <w:tcW w:type="dxa" w:w="6120"/>
            <w:vAlign w:val="top"/>
            <w:tcMar>
              <w:top w:w="90" w:type="dxa"/>
              <w:start w:w="110" w:type="dxa"/>
              <w:bottom w:w="90" w:type="dxa"/>
              <w:end w:w="110" w:type="dxa"/>
            </w:tcMar>
          </w:tcPr>
          <w:p>
            <w:pPr>
              <w:spacing w:after="0"/>
            </w:pPr>
            <w:r>
              <w:rPr>
                <w:sz w:val="15"/>
              </w:rPr>
              <w:t>Verified date used for coverage-window decision.</w:t>
            </w:r>
          </w:p>
        </w:tc>
        <w:tc>
          <w:tcPr>
            <w:tcW w:type="dxa" w:w="1080"/>
            <w:vAlign w:val="top"/>
            <w:tcMar>
              <w:top w:w="90" w:type="dxa"/>
              <w:start w:w="110" w:type="dxa"/>
              <w:bottom w:w="90" w:type="dxa"/>
              <w:end w:w="110" w:type="dxa"/>
            </w:tcMar>
          </w:tcPr>
          <w:p>
            <w:pPr>
              <w:spacing w:after="0"/>
            </w:pPr>
            <w:r>
              <w:rPr>
                <w:sz w:val="15"/>
              </w:rPr>
              <w:t>date</w:t>
            </w:r>
          </w:p>
        </w:tc>
      </w:tr>
      <w:tr>
        <w:tc>
          <w:tcPr>
            <w:tcW w:type="dxa" w:w="2232"/>
            <w:vAlign w:val="top"/>
            <w:tcMar>
              <w:top w:w="90" w:type="dxa"/>
              <w:start w:w="110" w:type="dxa"/>
              <w:bottom w:w="90" w:type="dxa"/>
              <w:end w:w="110" w:type="dxa"/>
            </w:tcMar>
          </w:tcPr>
          <w:p>
            <w:pPr>
              <w:spacing w:after="0"/>
            </w:pPr>
            <w:r>
              <w:rPr>
                <w:sz w:val="15"/>
              </w:rPr>
              <w:t>updated_date</w:t>
            </w:r>
          </w:p>
        </w:tc>
        <w:tc>
          <w:tcPr>
            <w:tcW w:type="dxa" w:w="6120"/>
            <w:vAlign w:val="top"/>
            <w:tcMar>
              <w:top w:w="90" w:type="dxa"/>
              <w:start w:w="110" w:type="dxa"/>
              <w:bottom w:w="90" w:type="dxa"/>
              <w:end w:w="110" w:type="dxa"/>
            </w:tcMar>
          </w:tcPr>
          <w:p>
            <w:pPr>
              <w:spacing w:after="0"/>
            </w:pPr>
            <w:r>
              <w:rPr>
                <w:sz w:val="15"/>
              </w:rPr>
              <w:t>Page update date, if present.</w:t>
            </w:r>
          </w:p>
        </w:tc>
        <w:tc>
          <w:tcPr>
            <w:tcW w:type="dxa" w:w="1080"/>
            <w:vAlign w:val="top"/>
            <w:tcMar>
              <w:top w:w="90" w:type="dxa"/>
              <w:start w:w="110" w:type="dxa"/>
              <w:bottom w:w="90" w:type="dxa"/>
              <w:end w:w="110" w:type="dxa"/>
            </w:tcMar>
          </w:tcPr>
          <w:p>
            <w:pPr>
              <w:spacing w:after="0"/>
            </w:pPr>
            <w:r>
              <w:rPr>
                <w:sz w:val="15"/>
              </w:rPr>
              <w:t>date/blank</w:t>
            </w:r>
          </w:p>
        </w:tc>
      </w:tr>
      <w:tr>
        <w:tc>
          <w:tcPr>
            <w:tcW w:type="dxa" w:w="2232"/>
            <w:vAlign w:val="top"/>
            <w:tcMar>
              <w:top w:w="90" w:type="dxa"/>
              <w:start w:w="110" w:type="dxa"/>
              <w:bottom w:w="90" w:type="dxa"/>
              <w:end w:w="110" w:type="dxa"/>
            </w:tcMar>
          </w:tcPr>
          <w:p>
            <w:pPr>
              <w:spacing w:after="0"/>
            </w:pPr>
            <w:r>
              <w:rPr>
                <w:sz w:val="15"/>
              </w:rPr>
              <w:t>event_date</w:t>
            </w:r>
          </w:p>
        </w:tc>
        <w:tc>
          <w:tcPr>
            <w:tcW w:type="dxa" w:w="6120"/>
            <w:vAlign w:val="top"/>
            <w:tcMar>
              <w:top w:w="90" w:type="dxa"/>
              <w:start w:w="110" w:type="dxa"/>
              <w:bottom w:w="90" w:type="dxa"/>
              <w:end w:w="110" w:type="dxa"/>
            </w:tcMar>
          </w:tcPr>
          <w:p>
            <w:pPr>
              <w:spacing w:after="0"/>
            </w:pPr>
            <w:r>
              <w:rPr>
                <w:sz w:val="15"/>
              </w:rPr>
              <w:t>Underlying event date, if relevant.</w:t>
            </w:r>
          </w:p>
        </w:tc>
        <w:tc>
          <w:tcPr>
            <w:tcW w:type="dxa" w:w="1080"/>
            <w:vAlign w:val="top"/>
            <w:tcMar>
              <w:top w:w="90" w:type="dxa"/>
              <w:start w:w="110" w:type="dxa"/>
              <w:bottom w:w="90" w:type="dxa"/>
              <w:end w:w="110" w:type="dxa"/>
            </w:tcMar>
          </w:tcPr>
          <w:p>
            <w:pPr>
              <w:spacing w:after="0"/>
            </w:pPr>
            <w:r>
              <w:rPr>
                <w:sz w:val="15"/>
              </w:rPr>
              <w:t>date/blank</w:t>
            </w:r>
          </w:p>
        </w:tc>
      </w:tr>
      <w:tr>
        <w:tc>
          <w:tcPr>
            <w:tcW w:type="dxa" w:w="2232"/>
            <w:vAlign w:val="top"/>
            <w:tcMar>
              <w:top w:w="90" w:type="dxa"/>
              <w:start w:w="110" w:type="dxa"/>
              <w:bottom w:w="90" w:type="dxa"/>
              <w:end w:w="110" w:type="dxa"/>
            </w:tcMar>
          </w:tcPr>
          <w:p>
            <w:pPr>
              <w:spacing w:after="0"/>
            </w:pPr>
            <w:r>
              <w:rPr>
                <w:sz w:val="15"/>
              </w:rPr>
              <w:t>date_evidence</w:t>
            </w:r>
          </w:p>
        </w:tc>
        <w:tc>
          <w:tcPr>
            <w:tcW w:type="dxa" w:w="6120"/>
            <w:vAlign w:val="top"/>
            <w:tcMar>
              <w:top w:w="90" w:type="dxa"/>
              <w:start w:w="110" w:type="dxa"/>
              <w:bottom w:w="90" w:type="dxa"/>
              <w:end w:w="110" w:type="dxa"/>
            </w:tcMar>
          </w:tcPr>
          <w:p>
            <w:pPr>
              <w:spacing w:after="0"/>
            </w:pPr>
            <w:r>
              <w:rPr>
                <w:sz w:val="15"/>
              </w:rPr>
              <w:t>How the date was verified.</w:t>
            </w:r>
          </w:p>
        </w:tc>
        <w:tc>
          <w:tcPr>
            <w:tcW w:type="dxa" w:w="1080"/>
            <w:vAlign w:val="top"/>
            <w:tcMar>
              <w:top w:w="90" w:type="dxa"/>
              <w:start w:w="110" w:type="dxa"/>
              <w:bottom w:w="90" w:type="dxa"/>
              <w:end w:w="110" w:type="dxa"/>
            </w:tcMar>
          </w:tcPr>
          <w:p>
            <w:pPr>
              <w:spacing w:after="0"/>
            </w:pPr>
            <w:r>
              <w:rPr>
                <w:sz w:val="15"/>
              </w:rPr>
              <w:t>enum/text</w:t>
            </w:r>
          </w:p>
        </w:tc>
      </w:tr>
      <w:tr>
        <w:tc>
          <w:tcPr>
            <w:tcW w:type="dxa" w:w="2232"/>
            <w:vAlign w:val="top"/>
            <w:tcMar>
              <w:top w:w="90" w:type="dxa"/>
              <w:start w:w="110" w:type="dxa"/>
              <w:bottom w:w="90" w:type="dxa"/>
              <w:end w:w="110" w:type="dxa"/>
            </w:tcMar>
          </w:tcPr>
          <w:p>
            <w:pPr>
              <w:spacing w:after="0"/>
            </w:pPr>
            <w:r>
              <w:rPr>
                <w:sz w:val="15"/>
              </w:rPr>
              <w:t>source_approved</w:t>
            </w:r>
          </w:p>
        </w:tc>
        <w:tc>
          <w:tcPr>
            <w:tcW w:type="dxa" w:w="6120"/>
            <w:vAlign w:val="top"/>
            <w:tcMar>
              <w:top w:w="90" w:type="dxa"/>
              <w:start w:w="110" w:type="dxa"/>
              <w:bottom w:w="90" w:type="dxa"/>
              <w:end w:w="110" w:type="dxa"/>
            </w:tcMar>
          </w:tcPr>
          <w:p>
            <w:pPr>
              <w:spacing w:after="0"/>
            </w:pPr>
            <w:r>
              <w:rPr>
                <w:sz w:val="15"/>
              </w:rPr>
              <w:t>Approval under current source universe.</w:t>
            </w:r>
          </w:p>
        </w:tc>
        <w:tc>
          <w:tcPr>
            <w:tcW w:type="dxa" w:w="1080"/>
            <w:vAlign w:val="top"/>
            <w:tcMar>
              <w:top w:w="90" w:type="dxa"/>
              <w:start w:w="110" w:type="dxa"/>
              <w:bottom w:w="90" w:type="dxa"/>
              <w:end w:w="110" w:type="dxa"/>
            </w:tcMar>
          </w:tcPr>
          <w:p>
            <w:pPr>
              <w:spacing w:after="0"/>
            </w:pPr>
            <w:r>
              <w:rPr>
                <w:sz w:val="15"/>
              </w:rPr>
              <w:t>boolean</w:t>
            </w:r>
          </w:p>
        </w:tc>
      </w:tr>
      <w:tr>
        <w:tc>
          <w:tcPr>
            <w:tcW w:type="dxa" w:w="2232"/>
            <w:vAlign w:val="top"/>
            <w:tcMar>
              <w:top w:w="90" w:type="dxa"/>
              <w:start w:w="110" w:type="dxa"/>
              <w:bottom w:w="90" w:type="dxa"/>
              <w:end w:w="110" w:type="dxa"/>
            </w:tcMar>
          </w:tcPr>
          <w:p>
            <w:pPr>
              <w:spacing w:after="0"/>
            </w:pPr>
            <w:r>
              <w:rPr>
                <w:sz w:val="15"/>
              </w:rPr>
              <w:t>libya_relevant</w:t>
            </w:r>
          </w:p>
        </w:tc>
        <w:tc>
          <w:tcPr>
            <w:tcW w:type="dxa" w:w="6120"/>
            <w:vAlign w:val="top"/>
            <w:tcMar>
              <w:top w:w="90" w:type="dxa"/>
              <w:start w:w="110" w:type="dxa"/>
              <w:bottom w:w="90" w:type="dxa"/>
              <w:end w:w="110" w:type="dxa"/>
            </w:tcMar>
          </w:tcPr>
          <w:p>
            <w:pPr>
              <w:spacing w:after="0"/>
            </w:pPr>
            <w:r>
              <w:rPr>
                <w:sz w:val="15"/>
              </w:rPr>
              <w:t>Substantively about Libya.</w:t>
            </w:r>
          </w:p>
        </w:tc>
        <w:tc>
          <w:tcPr>
            <w:tcW w:type="dxa" w:w="1080"/>
            <w:vAlign w:val="top"/>
            <w:tcMar>
              <w:top w:w="90" w:type="dxa"/>
              <w:start w:w="110" w:type="dxa"/>
              <w:bottom w:w="90" w:type="dxa"/>
              <w:end w:w="110" w:type="dxa"/>
            </w:tcMar>
          </w:tcPr>
          <w:p>
            <w:pPr>
              <w:spacing w:after="0"/>
            </w:pPr>
            <w:r>
              <w:rPr>
                <w:sz w:val="15"/>
              </w:rPr>
              <w:t>boolean</w:t>
            </w:r>
          </w:p>
        </w:tc>
      </w:tr>
      <w:tr>
        <w:tc>
          <w:tcPr>
            <w:tcW w:type="dxa" w:w="2232"/>
            <w:vAlign w:val="top"/>
            <w:tcMar>
              <w:top w:w="90" w:type="dxa"/>
              <w:start w:w="110" w:type="dxa"/>
              <w:bottom w:w="90" w:type="dxa"/>
              <w:end w:w="110" w:type="dxa"/>
            </w:tcMar>
          </w:tcPr>
          <w:p>
            <w:pPr>
              <w:spacing w:after="0"/>
            </w:pPr>
            <w:r>
              <w:rPr>
                <w:sz w:val="15"/>
              </w:rPr>
              <w:t>article_accessible</w:t>
            </w:r>
          </w:p>
        </w:tc>
        <w:tc>
          <w:tcPr>
            <w:tcW w:type="dxa" w:w="6120"/>
            <w:vAlign w:val="top"/>
            <w:tcMar>
              <w:top w:w="90" w:type="dxa"/>
              <w:start w:w="110" w:type="dxa"/>
              <w:bottom w:w="90" w:type="dxa"/>
              <w:end w:w="110" w:type="dxa"/>
            </w:tcMar>
          </w:tcPr>
          <w:p>
            <w:pPr>
              <w:spacing w:after="0"/>
            </w:pPr>
            <w:r>
              <w:rPr>
                <w:sz w:val="15"/>
              </w:rPr>
              <w:t>Sufficient content inspected.</w:t>
            </w:r>
          </w:p>
        </w:tc>
        <w:tc>
          <w:tcPr>
            <w:tcW w:type="dxa" w:w="1080"/>
            <w:vAlign w:val="top"/>
            <w:tcMar>
              <w:top w:w="90" w:type="dxa"/>
              <w:start w:w="110" w:type="dxa"/>
              <w:bottom w:w="90" w:type="dxa"/>
              <w:end w:w="110" w:type="dxa"/>
            </w:tcMar>
          </w:tcPr>
          <w:p>
            <w:pPr>
              <w:spacing w:after="0"/>
            </w:pPr>
            <w:r>
              <w:rPr>
                <w:sz w:val="15"/>
              </w:rPr>
              <w:t>boolean</w:t>
            </w:r>
          </w:p>
        </w:tc>
      </w:tr>
      <w:tr>
        <w:tc>
          <w:tcPr>
            <w:tcW w:type="dxa" w:w="2232"/>
            <w:vAlign w:val="top"/>
            <w:tcMar>
              <w:top w:w="90" w:type="dxa"/>
              <w:start w:w="110" w:type="dxa"/>
              <w:bottom w:w="90" w:type="dxa"/>
              <w:end w:w="110" w:type="dxa"/>
            </w:tcMar>
          </w:tcPr>
          <w:p>
            <w:pPr>
              <w:spacing w:after="0"/>
            </w:pPr>
            <w:r>
              <w:rPr>
                <w:sz w:val="15"/>
              </w:rPr>
              <w:t>un_related</w:t>
            </w:r>
          </w:p>
        </w:tc>
        <w:tc>
          <w:tcPr>
            <w:tcW w:type="dxa" w:w="6120"/>
            <w:vAlign w:val="top"/>
            <w:tcMar>
              <w:top w:w="90" w:type="dxa"/>
              <w:start w:w="110" w:type="dxa"/>
              <w:bottom w:w="90" w:type="dxa"/>
              <w:end w:w="110" w:type="dxa"/>
            </w:tcMar>
          </w:tcPr>
          <w:p>
            <w:pPr>
              <w:spacing w:after="0"/>
            </w:pPr>
            <w:r>
              <w:rPr>
                <w:sz w:val="15"/>
              </w:rPr>
              <w:t>UN protection classification.</w:t>
            </w:r>
          </w:p>
        </w:tc>
        <w:tc>
          <w:tcPr>
            <w:tcW w:type="dxa" w:w="1080"/>
            <w:vAlign w:val="top"/>
            <w:tcMar>
              <w:top w:w="90" w:type="dxa"/>
              <w:start w:w="110" w:type="dxa"/>
              <w:bottom w:w="90" w:type="dxa"/>
              <w:end w:w="110" w:type="dxa"/>
            </w:tcMar>
          </w:tcPr>
          <w:p>
            <w:pPr>
              <w:spacing w:after="0"/>
            </w:pPr>
            <w:r>
              <w:rPr>
                <w:sz w:val="15"/>
              </w:rPr>
              <w:t>boolean</w:t>
            </w:r>
          </w:p>
        </w:tc>
      </w:tr>
      <w:tr>
        <w:tc>
          <w:tcPr>
            <w:tcW w:type="dxa" w:w="2232"/>
            <w:vAlign w:val="top"/>
            <w:tcMar>
              <w:top w:w="90" w:type="dxa"/>
              <w:start w:w="110" w:type="dxa"/>
              <w:bottom w:w="90" w:type="dxa"/>
              <w:end w:w="110" w:type="dxa"/>
            </w:tcMar>
          </w:tcPr>
          <w:p>
            <w:pPr>
              <w:spacing w:after="0"/>
            </w:pPr>
            <w:r>
              <w:rPr>
                <w:sz w:val="15"/>
              </w:rPr>
              <w:t>un_entity</w:t>
            </w:r>
          </w:p>
        </w:tc>
        <w:tc>
          <w:tcPr>
            <w:tcW w:type="dxa" w:w="6120"/>
            <w:vAlign w:val="top"/>
            <w:tcMar>
              <w:top w:w="90" w:type="dxa"/>
              <w:start w:w="110" w:type="dxa"/>
              <w:bottom w:w="90" w:type="dxa"/>
              <w:end w:w="110" w:type="dxa"/>
            </w:tcMar>
          </w:tcPr>
          <w:p>
            <w:pPr>
              <w:spacing w:after="0"/>
            </w:pPr>
            <w:r>
              <w:rPr>
                <w:sz w:val="15"/>
              </w:rPr>
              <w:t>Relevant UN entity.</w:t>
            </w:r>
          </w:p>
        </w:tc>
        <w:tc>
          <w:tcPr>
            <w:tcW w:type="dxa" w:w="1080"/>
            <w:vAlign w:val="top"/>
            <w:tcMar>
              <w:top w:w="90" w:type="dxa"/>
              <w:start w:w="110" w:type="dxa"/>
              <w:bottom w:w="90" w:type="dxa"/>
              <w:end w:w="110" w:type="dxa"/>
            </w:tcMar>
          </w:tcPr>
          <w:p>
            <w:pPr>
              <w:spacing w:after="0"/>
            </w:pPr>
            <w:r>
              <w:rPr>
                <w:sz w:val="15"/>
              </w:rPr>
              <w:t>text/blank</w:t>
            </w:r>
          </w:p>
        </w:tc>
      </w:tr>
      <w:tr>
        <w:tc>
          <w:tcPr>
            <w:tcW w:type="dxa" w:w="2232"/>
            <w:vAlign w:val="top"/>
            <w:tcMar>
              <w:top w:w="90" w:type="dxa"/>
              <w:start w:w="110" w:type="dxa"/>
              <w:bottom w:w="90" w:type="dxa"/>
              <w:end w:w="110" w:type="dxa"/>
            </w:tcMar>
          </w:tcPr>
          <w:p>
            <w:pPr>
              <w:spacing w:after="0"/>
            </w:pPr>
            <w:r>
              <w:rPr>
                <w:sz w:val="15"/>
              </w:rPr>
              <w:t>story_cluster</w:t>
            </w:r>
          </w:p>
        </w:tc>
        <w:tc>
          <w:tcPr>
            <w:tcW w:type="dxa" w:w="6120"/>
            <w:vAlign w:val="top"/>
            <w:tcMar>
              <w:top w:w="90" w:type="dxa"/>
              <w:start w:w="110" w:type="dxa"/>
              <w:bottom w:w="90" w:type="dxa"/>
              <w:end w:w="110" w:type="dxa"/>
            </w:tcMar>
          </w:tcPr>
          <w:p>
            <w:pPr>
              <w:spacing w:after="0"/>
            </w:pPr>
            <w:r>
              <w:rPr>
                <w:sz w:val="15"/>
              </w:rPr>
              <w:t>Cluster identifier.</w:t>
            </w:r>
          </w:p>
        </w:tc>
        <w:tc>
          <w:tcPr>
            <w:tcW w:type="dxa" w:w="1080"/>
            <w:vAlign w:val="top"/>
            <w:tcMar>
              <w:top w:w="90" w:type="dxa"/>
              <w:start w:w="110" w:type="dxa"/>
              <w:bottom w:w="90" w:type="dxa"/>
              <w:end w:w="110" w:type="dxa"/>
            </w:tcMar>
          </w:tcPr>
          <w:p>
            <w:pPr>
              <w:spacing w:after="0"/>
            </w:pPr>
            <w:r>
              <w:rPr>
                <w:sz w:val="15"/>
              </w:rPr>
              <w:t>text</w:t>
            </w:r>
          </w:p>
        </w:tc>
      </w:tr>
      <w:tr>
        <w:tc>
          <w:tcPr>
            <w:tcW w:type="dxa" w:w="2232"/>
            <w:vAlign w:val="top"/>
            <w:tcMar>
              <w:top w:w="90" w:type="dxa"/>
              <w:start w:w="110" w:type="dxa"/>
              <w:bottom w:w="90" w:type="dxa"/>
              <w:end w:w="110" w:type="dxa"/>
            </w:tcMar>
          </w:tcPr>
          <w:p>
            <w:pPr>
              <w:spacing w:after="0"/>
            </w:pPr>
            <w:r>
              <w:rPr>
                <w:sz w:val="15"/>
              </w:rPr>
              <w:t>duplicate_category</w:t>
            </w:r>
          </w:p>
        </w:tc>
        <w:tc>
          <w:tcPr>
            <w:tcW w:type="dxa" w:w="6120"/>
            <w:vAlign w:val="top"/>
            <w:tcMar>
              <w:top w:w="90" w:type="dxa"/>
              <w:start w:w="110" w:type="dxa"/>
              <w:bottom w:w="90" w:type="dxa"/>
              <w:end w:w="110" w:type="dxa"/>
            </w:tcMar>
          </w:tcPr>
          <w:p>
            <w:pPr>
              <w:spacing w:after="0"/>
            </w:pPr>
            <w:r>
              <w:rPr>
                <w:sz w:val="15"/>
              </w:rPr>
              <w:t>Controlled duplicate taxonomy.</w:t>
            </w:r>
          </w:p>
        </w:tc>
        <w:tc>
          <w:tcPr>
            <w:tcW w:type="dxa" w:w="1080"/>
            <w:vAlign w:val="top"/>
            <w:tcMar>
              <w:top w:w="90" w:type="dxa"/>
              <w:start w:w="110" w:type="dxa"/>
              <w:bottom w:w="90" w:type="dxa"/>
              <w:end w:w="110" w:type="dxa"/>
            </w:tcMar>
          </w:tcPr>
          <w:p>
            <w:pPr>
              <w:spacing w:after="0"/>
            </w:pPr>
            <w:r>
              <w:rPr>
                <w:sz w:val="15"/>
              </w:rPr>
              <w:t>enum</w:t>
            </w:r>
          </w:p>
        </w:tc>
      </w:tr>
      <w:tr>
        <w:tc>
          <w:tcPr>
            <w:tcW w:type="dxa" w:w="2232"/>
            <w:vAlign w:val="top"/>
            <w:tcMar>
              <w:top w:w="90" w:type="dxa"/>
              <w:start w:w="110" w:type="dxa"/>
              <w:bottom w:w="90" w:type="dxa"/>
              <w:end w:w="110" w:type="dxa"/>
            </w:tcMar>
          </w:tcPr>
          <w:p>
            <w:pPr>
              <w:spacing w:after="0"/>
            </w:pPr>
            <w:r>
              <w:rPr>
                <w:sz w:val="15"/>
              </w:rPr>
              <w:t>final_decision</w:t>
            </w:r>
          </w:p>
        </w:tc>
        <w:tc>
          <w:tcPr>
            <w:tcW w:type="dxa" w:w="6120"/>
            <w:vAlign w:val="top"/>
            <w:tcMar>
              <w:top w:w="90" w:type="dxa"/>
              <w:start w:w="110" w:type="dxa"/>
              <w:bottom w:w="90" w:type="dxa"/>
              <w:end w:w="110" w:type="dxa"/>
            </w:tcMar>
          </w:tcPr>
          <w:p>
            <w:pPr>
              <w:spacing w:after="0"/>
            </w:pPr>
            <w:r>
              <w:rPr>
                <w:sz w:val="15"/>
              </w:rPr>
              <w:t>INCLUDED, EXCLUDED, MERGED or UNRESOLVED.</w:t>
            </w:r>
          </w:p>
        </w:tc>
        <w:tc>
          <w:tcPr>
            <w:tcW w:type="dxa" w:w="1080"/>
            <w:vAlign w:val="top"/>
            <w:tcMar>
              <w:top w:w="90" w:type="dxa"/>
              <w:start w:w="110" w:type="dxa"/>
              <w:bottom w:w="90" w:type="dxa"/>
              <w:end w:w="110" w:type="dxa"/>
            </w:tcMar>
          </w:tcPr>
          <w:p>
            <w:pPr>
              <w:spacing w:after="0"/>
            </w:pPr>
            <w:r>
              <w:rPr>
                <w:sz w:val="15"/>
              </w:rPr>
              <w:t>enum</w:t>
            </w:r>
          </w:p>
        </w:tc>
      </w:tr>
      <w:tr>
        <w:tc>
          <w:tcPr>
            <w:tcW w:type="dxa" w:w="2232"/>
            <w:vAlign w:val="top"/>
            <w:tcMar>
              <w:top w:w="90" w:type="dxa"/>
              <w:start w:w="110" w:type="dxa"/>
              <w:bottom w:w="90" w:type="dxa"/>
              <w:end w:w="110" w:type="dxa"/>
            </w:tcMar>
          </w:tcPr>
          <w:p>
            <w:pPr>
              <w:spacing w:after="0"/>
            </w:pPr>
            <w:r>
              <w:rPr>
                <w:sz w:val="15"/>
              </w:rPr>
              <w:t>exclusion_reason</w:t>
            </w:r>
          </w:p>
        </w:tc>
        <w:tc>
          <w:tcPr>
            <w:tcW w:type="dxa" w:w="6120"/>
            <w:vAlign w:val="top"/>
            <w:tcMar>
              <w:top w:w="90" w:type="dxa"/>
              <w:start w:w="110" w:type="dxa"/>
              <w:bottom w:w="90" w:type="dxa"/>
              <w:end w:w="110" w:type="dxa"/>
            </w:tcMar>
          </w:tcPr>
          <w:p>
            <w:pPr>
              <w:spacing w:after="0"/>
            </w:pPr>
            <w:r>
              <w:rPr>
                <w:sz w:val="15"/>
              </w:rPr>
              <w:t>Mandatory when excluded.</w:t>
            </w:r>
          </w:p>
        </w:tc>
        <w:tc>
          <w:tcPr>
            <w:tcW w:type="dxa" w:w="1080"/>
            <w:vAlign w:val="top"/>
            <w:tcMar>
              <w:top w:w="90" w:type="dxa"/>
              <w:start w:w="110" w:type="dxa"/>
              <w:bottom w:w="90" w:type="dxa"/>
              <w:end w:w="110" w:type="dxa"/>
            </w:tcMar>
          </w:tcPr>
          <w:p>
            <w:pPr>
              <w:spacing w:after="0"/>
            </w:pPr>
            <w:r>
              <w:rPr>
                <w:sz w:val="15"/>
              </w:rPr>
              <w:t>text/blank</w:t>
            </w:r>
          </w:p>
        </w:tc>
      </w:tr>
      <w:tr>
        <w:tc>
          <w:tcPr>
            <w:tcW w:type="dxa" w:w="2232"/>
            <w:vAlign w:val="top"/>
            <w:tcMar>
              <w:top w:w="90" w:type="dxa"/>
              <w:start w:w="110" w:type="dxa"/>
              <w:bottom w:w="90" w:type="dxa"/>
              <w:end w:w="110" w:type="dxa"/>
            </w:tcMar>
          </w:tcPr>
          <w:p>
            <w:pPr>
              <w:spacing w:after="0"/>
            </w:pPr>
            <w:r>
              <w:rPr>
                <w:sz w:val="15"/>
              </w:rPr>
              <w:t>merge_target</w:t>
            </w:r>
          </w:p>
        </w:tc>
        <w:tc>
          <w:tcPr>
            <w:tcW w:type="dxa" w:w="6120"/>
            <w:vAlign w:val="top"/>
            <w:tcMar>
              <w:top w:w="90" w:type="dxa"/>
              <w:start w:w="110" w:type="dxa"/>
              <w:bottom w:w="90" w:type="dxa"/>
              <w:end w:w="110" w:type="dxa"/>
            </w:tcMar>
          </w:tcPr>
          <w:p>
            <w:pPr>
              <w:spacing w:after="0"/>
            </w:pPr>
            <w:r>
              <w:rPr>
                <w:sz w:val="15"/>
              </w:rPr>
              <w:t>Final item/cluster when merged.</w:t>
            </w:r>
          </w:p>
        </w:tc>
        <w:tc>
          <w:tcPr>
            <w:tcW w:type="dxa" w:w="1080"/>
            <w:vAlign w:val="top"/>
            <w:tcMar>
              <w:top w:w="90" w:type="dxa"/>
              <w:start w:w="110" w:type="dxa"/>
              <w:bottom w:w="90" w:type="dxa"/>
              <w:end w:w="110" w:type="dxa"/>
            </w:tcMar>
          </w:tcPr>
          <w:p>
            <w:pPr>
              <w:spacing w:after="0"/>
            </w:pPr>
            <w:r>
              <w:rPr>
                <w:sz w:val="15"/>
              </w:rPr>
              <w:t>text/blank</w:t>
            </w:r>
          </w:p>
        </w:tc>
      </w:tr>
      <w:tr>
        <w:tc>
          <w:tcPr>
            <w:tcW w:type="dxa" w:w="2232"/>
            <w:vAlign w:val="top"/>
            <w:tcMar>
              <w:top w:w="90" w:type="dxa"/>
              <w:start w:w="110" w:type="dxa"/>
              <w:bottom w:w="90" w:type="dxa"/>
              <w:end w:w="110" w:type="dxa"/>
            </w:tcMar>
          </w:tcPr>
          <w:p>
            <w:pPr>
              <w:spacing w:after="0"/>
            </w:pPr>
            <w:r>
              <w:rPr>
                <w:sz w:val="15"/>
              </w:rPr>
              <w:t>section</w:t>
            </w:r>
          </w:p>
        </w:tc>
        <w:tc>
          <w:tcPr>
            <w:tcW w:type="dxa" w:w="6120"/>
            <w:vAlign w:val="top"/>
            <w:tcMar>
              <w:top w:w="90" w:type="dxa"/>
              <w:start w:w="110" w:type="dxa"/>
              <w:bottom w:w="90" w:type="dxa"/>
              <w:end w:w="110" w:type="dxa"/>
            </w:tcMar>
          </w:tcPr>
          <w:p>
            <w:pPr>
              <w:spacing w:after="0"/>
            </w:pPr>
            <w:r>
              <w:rPr>
                <w:sz w:val="15"/>
              </w:rPr>
              <w:t>Final main section.</w:t>
            </w:r>
          </w:p>
        </w:tc>
        <w:tc>
          <w:tcPr>
            <w:tcW w:type="dxa" w:w="1080"/>
            <w:vAlign w:val="top"/>
            <w:tcMar>
              <w:top w:w="90" w:type="dxa"/>
              <w:start w:w="110" w:type="dxa"/>
              <w:bottom w:w="90" w:type="dxa"/>
              <w:end w:w="110" w:type="dxa"/>
            </w:tcMar>
          </w:tcPr>
          <w:p>
            <w:pPr>
              <w:spacing w:after="0"/>
            </w:pPr>
            <w:r>
              <w:rPr>
                <w:sz w:val="15"/>
              </w:rPr>
              <w:t>enum</w:t>
            </w:r>
          </w:p>
        </w:tc>
      </w:tr>
      <w:tr>
        <w:tc>
          <w:tcPr>
            <w:tcW w:type="dxa" w:w="2232"/>
            <w:vAlign w:val="top"/>
            <w:tcMar>
              <w:top w:w="90" w:type="dxa"/>
              <w:start w:w="110" w:type="dxa"/>
              <w:bottom w:w="90" w:type="dxa"/>
              <w:end w:w="110" w:type="dxa"/>
            </w:tcMar>
          </w:tcPr>
          <w:p>
            <w:pPr>
              <w:spacing w:after="0"/>
            </w:pPr>
            <w:r>
              <w:rPr>
                <w:sz w:val="15"/>
              </w:rPr>
              <w:t>subsection</w:t>
            </w:r>
          </w:p>
        </w:tc>
        <w:tc>
          <w:tcPr>
            <w:tcW w:type="dxa" w:w="6120"/>
            <w:vAlign w:val="top"/>
            <w:tcMar>
              <w:top w:w="90" w:type="dxa"/>
              <w:start w:w="110" w:type="dxa"/>
              <w:bottom w:w="90" w:type="dxa"/>
              <w:end w:w="110" w:type="dxa"/>
            </w:tcMar>
          </w:tcPr>
          <w:p>
            <w:pPr>
              <w:spacing w:after="0"/>
            </w:pPr>
            <w:r>
              <w:rPr>
                <w:sz w:val="15"/>
              </w:rPr>
              <w:t>Dynamic event-based subsection.</w:t>
            </w:r>
          </w:p>
        </w:tc>
        <w:tc>
          <w:tcPr>
            <w:tcW w:type="dxa" w:w="1080"/>
            <w:vAlign w:val="top"/>
            <w:tcMar>
              <w:top w:w="90" w:type="dxa"/>
              <w:start w:w="110" w:type="dxa"/>
              <w:bottom w:w="90" w:type="dxa"/>
              <w:end w:w="110" w:type="dxa"/>
            </w:tcMar>
          </w:tcPr>
          <w:p>
            <w:pPr>
              <w:spacing w:after="0"/>
            </w:pPr>
            <w:r>
              <w:rPr>
                <w:sz w:val="15"/>
              </w:rPr>
              <w:t>text</w:t>
            </w:r>
          </w:p>
        </w:tc>
      </w:tr>
      <w:tr>
        <w:tc>
          <w:tcPr>
            <w:tcW w:type="dxa" w:w="2232"/>
            <w:vAlign w:val="top"/>
            <w:tcMar>
              <w:top w:w="90" w:type="dxa"/>
              <w:start w:w="110" w:type="dxa"/>
              <w:bottom w:w="90" w:type="dxa"/>
              <w:end w:w="110" w:type="dxa"/>
            </w:tcMar>
          </w:tcPr>
          <w:p>
            <w:pPr>
              <w:spacing w:after="0"/>
            </w:pPr>
            <w:r>
              <w:rPr>
                <w:sz w:val="15"/>
              </w:rPr>
              <w:t>role_label</w:t>
            </w:r>
          </w:p>
        </w:tc>
        <w:tc>
          <w:tcPr>
            <w:tcW w:type="dxa" w:w="6120"/>
            <w:vAlign w:val="top"/>
            <w:tcMar>
              <w:top w:w="90" w:type="dxa"/>
              <w:start w:w="110" w:type="dxa"/>
              <w:bottom w:w="90" w:type="dxa"/>
              <w:end w:w="110" w:type="dxa"/>
            </w:tcMar>
          </w:tcPr>
          <w:p>
            <w:pPr>
              <w:spacing w:after="0"/>
            </w:pPr>
            <w:r>
              <w:rPr>
                <w:sz w:val="15"/>
              </w:rPr>
              <w:t>Verified person-role label, if used.</w:t>
            </w:r>
          </w:p>
        </w:tc>
        <w:tc>
          <w:tcPr>
            <w:tcW w:type="dxa" w:w="1080"/>
            <w:vAlign w:val="top"/>
            <w:tcMar>
              <w:top w:w="90" w:type="dxa"/>
              <w:start w:w="110" w:type="dxa"/>
              <w:bottom w:w="90" w:type="dxa"/>
              <w:end w:w="110" w:type="dxa"/>
            </w:tcMar>
          </w:tcPr>
          <w:p>
            <w:pPr>
              <w:spacing w:after="0"/>
            </w:pPr>
            <w:r>
              <w:rPr>
                <w:sz w:val="15"/>
              </w:rPr>
              <w:t>text/blank</w:t>
            </w:r>
          </w:p>
        </w:tc>
      </w:tr>
      <w:tr>
        <w:tc>
          <w:tcPr>
            <w:tcW w:type="dxa" w:w="2232"/>
            <w:vAlign w:val="top"/>
            <w:tcMar>
              <w:top w:w="90" w:type="dxa"/>
              <w:start w:w="110" w:type="dxa"/>
              <w:bottom w:w="90" w:type="dxa"/>
              <w:end w:w="110" w:type="dxa"/>
            </w:tcMar>
          </w:tcPr>
          <w:p>
            <w:pPr>
              <w:spacing w:after="0"/>
            </w:pPr>
            <w:r>
              <w:rPr>
                <w:sz w:val="15"/>
              </w:rPr>
              <w:t>final_english_headline</w:t>
            </w:r>
          </w:p>
        </w:tc>
        <w:tc>
          <w:tcPr>
            <w:tcW w:type="dxa" w:w="6120"/>
            <w:vAlign w:val="top"/>
            <w:tcMar>
              <w:top w:w="90" w:type="dxa"/>
              <w:start w:w="110" w:type="dxa"/>
              <w:bottom w:w="90" w:type="dxa"/>
              <w:end w:w="110" w:type="dxa"/>
            </w:tcMar>
          </w:tcPr>
          <w:p>
            <w:pPr>
              <w:spacing w:after="0"/>
            </w:pPr>
            <w:r>
              <w:rPr>
                <w:sz w:val="15"/>
              </w:rPr>
              <w:t>PICS headline.</w:t>
            </w:r>
          </w:p>
        </w:tc>
        <w:tc>
          <w:tcPr>
            <w:tcW w:type="dxa" w:w="1080"/>
            <w:vAlign w:val="top"/>
            <w:tcMar>
              <w:top w:w="90" w:type="dxa"/>
              <w:start w:w="110" w:type="dxa"/>
              <w:bottom w:w="90" w:type="dxa"/>
              <w:end w:w="110" w:type="dxa"/>
            </w:tcMar>
          </w:tcPr>
          <w:p>
            <w:pPr>
              <w:spacing w:after="0"/>
            </w:pPr>
            <w:r>
              <w:rPr>
                <w:sz w:val="15"/>
              </w:rPr>
              <w:t>text</w:t>
            </w:r>
          </w:p>
        </w:tc>
      </w:tr>
      <w:tr>
        <w:tc>
          <w:tcPr>
            <w:tcW w:type="dxa" w:w="2232"/>
            <w:vAlign w:val="top"/>
            <w:tcMar>
              <w:top w:w="90" w:type="dxa"/>
              <w:start w:w="110" w:type="dxa"/>
              <w:bottom w:w="90" w:type="dxa"/>
              <w:end w:w="110" w:type="dxa"/>
            </w:tcMar>
          </w:tcPr>
          <w:p>
            <w:pPr>
              <w:spacing w:after="0"/>
            </w:pPr>
            <w:r>
              <w:rPr>
                <w:sz w:val="15"/>
              </w:rPr>
              <w:t>final_item_id</w:t>
            </w:r>
          </w:p>
        </w:tc>
        <w:tc>
          <w:tcPr>
            <w:tcW w:type="dxa" w:w="6120"/>
            <w:vAlign w:val="top"/>
            <w:tcMar>
              <w:top w:w="90" w:type="dxa"/>
              <w:start w:w="110" w:type="dxa"/>
              <w:bottom w:w="90" w:type="dxa"/>
              <w:end w:w="110" w:type="dxa"/>
            </w:tcMar>
          </w:tcPr>
          <w:p>
            <w:pPr>
              <w:spacing w:after="0"/>
            </w:pPr>
            <w:r>
              <w:rPr>
                <w:sz w:val="15"/>
              </w:rPr>
              <w:t>Final bullet/entry identifier.</w:t>
            </w:r>
          </w:p>
        </w:tc>
        <w:tc>
          <w:tcPr>
            <w:tcW w:type="dxa" w:w="1080"/>
            <w:vAlign w:val="top"/>
            <w:tcMar>
              <w:top w:w="90" w:type="dxa"/>
              <w:start w:w="110" w:type="dxa"/>
              <w:bottom w:w="90" w:type="dxa"/>
              <w:end w:w="110" w:type="dxa"/>
            </w:tcMar>
          </w:tcPr>
          <w:p>
            <w:pPr>
              <w:spacing w:after="0"/>
            </w:pPr>
            <w:r>
              <w:rPr>
                <w:sz w:val="15"/>
              </w:rPr>
              <w:t>text/blank</w:t>
            </w:r>
          </w:p>
        </w:tc>
      </w:tr>
      <w:tr>
        <w:tc>
          <w:tcPr>
            <w:tcW w:type="dxa" w:w="2232"/>
            <w:vAlign w:val="top"/>
            <w:tcMar>
              <w:top w:w="90" w:type="dxa"/>
              <w:start w:w="110" w:type="dxa"/>
              <w:bottom w:w="90" w:type="dxa"/>
              <w:end w:w="110" w:type="dxa"/>
            </w:tcMar>
          </w:tcPr>
          <w:p>
            <w:pPr>
              <w:spacing w:after="0"/>
            </w:pPr>
            <w:r>
              <w:rPr>
                <w:sz w:val="15"/>
              </w:rPr>
              <w:t>verification_notes</w:t>
            </w:r>
          </w:p>
        </w:tc>
        <w:tc>
          <w:tcPr>
            <w:tcW w:type="dxa" w:w="6120"/>
            <w:vAlign w:val="top"/>
            <w:tcMar>
              <w:top w:w="90" w:type="dxa"/>
              <w:start w:w="110" w:type="dxa"/>
              <w:bottom w:w="90" w:type="dxa"/>
              <w:end w:w="110" w:type="dxa"/>
            </w:tcMar>
          </w:tcPr>
          <w:p>
            <w:pPr>
              <w:spacing w:after="0"/>
            </w:pPr>
            <w:r>
              <w:rPr>
                <w:sz w:val="15"/>
              </w:rPr>
              <w:t>Evidence, caveats and decisions.</w:t>
            </w:r>
          </w:p>
        </w:tc>
        <w:tc>
          <w:tcPr>
            <w:tcW w:type="dxa" w:w="1080"/>
            <w:vAlign w:val="top"/>
            <w:tcMar>
              <w:top w:w="90" w:type="dxa"/>
              <w:start w:w="110" w:type="dxa"/>
              <w:bottom w:w="90" w:type="dxa"/>
              <w:end w:w="110" w:type="dxa"/>
            </w:tcMar>
          </w:tcPr>
          <w:p>
            <w:pPr>
              <w:spacing w:after="0"/>
            </w:pPr>
            <w:r>
              <w:rPr>
                <w:sz w:val="15"/>
              </w:rPr>
              <w:t>text</w:t>
            </w:r>
          </w:p>
        </w:tc>
      </w:tr>
    </w:tbl>
    <w:p>
      <w:pPr>
        <w:pStyle w:val="Heading2"/>
        <w:keepNext/>
      </w:pPr>
      <w:r>
        <w:rPr>
          <w:rFonts w:ascii="Calibri" w:hAnsi="Calibri"/>
        </w:rPr>
        <w:t>22.2 Generation rule</w:t>
      </w:r>
    </w:p>
    <w:p>
      <w:pPr>
        <w:pStyle w:val="ListBullet"/>
      </w:pPr>
      <w:r>
        <w:rPr>
          <w:rFonts w:ascii="Calibri" w:hAnsi="Calibri"/>
        </w:rPr>
        <w:t>The final Word document must be generated from records whose final_decision is INCLUDED, plus eligible MERGED records represented under their merge_target.</w:t>
      </w:r>
    </w:p>
    <w:p>
      <w:pPr>
        <w:pStyle w:val="ListBullet"/>
      </w:pPr>
      <w:r>
        <w:rPr>
          <w:rFonts w:ascii="Calibri" w:hAnsi="Calibri"/>
        </w:rPr>
        <w:t>The document generator must not re-decide inclusion, dates, duplicate status or classification. Those decisions belong in the verified dataset.</w:t>
      </w:r>
    </w:p>
    <w:p>
      <w:pPr>
        <w:pStyle w:val="ListBullet"/>
      </w:pPr>
      <w:r>
        <w:rPr>
          <w:rFonts w:ascii="Calibri" w:hAnsi="Calibri"/>
        </w:rPr>
        <w:t>Any manual change to the DOCX that changes editorial content must be reflected back into the structured dataset and revalidated.</w:t>
      </w:r>
    </w:p>
    <w:p>
      <w:pPr>
        <w:pStyle w:val="Heading1"/>
        <w:keepNext/>
      </w:pPr>
      <w:r>
        <w:rPr>
          <w:rFonts w:ascii="Calibri" w:hAnsi="Calibri"/>
        </w:rPr>
        <w:t>23. Controlled duplicate taxonomy</w:t>
      </w:r>
    </w:p>
    <w:p>
      <w:r>
        <w:rPr>
          <w:rFonts w:ascii="Calibri" w:hAnsi="Calibri"/>
        </w:rPr>
        <w:t>Codex must assign one of the following categories. Free-form labels such as “duplicate” are insufficient.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D9E6EA"/>
            <w:vAlign w:val="center"/>
            <w:tcMar>
              <w:top w:w="90" w:type="dxa"/>
              <w:start w:w="110" w:type="dxa"/>
              <w:bottom w:w="90" w:type="dxa"/>
              <w:end w:w="110" w:type="dxa"/>
            </w:tcMar>
          </w:tcPr>
          <w:p>
            <w:pPr>
              <w:jc w:val="center"/>
            </w:pPr>
            <w:r>
              <w:rPr>
                <w:b/>
                <w:sz w:val="15"/>
              </w:rPr>
              <w:t>Category</w:t>
            </w:r>
          </w:p>
        </w:tc>
        <w:tc>
          <w:tcPr>
            <w:tcW w:type="dxa" w:w="4032"/>
            <w:shd w:fill="D9E6EA"/>
            <w:vAlign w:val="center"/>
            <w:tcMar>
              <w:top w:w="90" w:type="dxa"/>
              <w:start w:w="110" w:type="dxa"/>
              <w:bottom w:w="90" w:type="dxa"/>
              <w:end w:w="110" w:type="dxa"/>
            </w:tcMar>
          </w:tcPr>
          <w:p>
            <w:pPr>
              <w:jc w:val="center"/>
            </w:pPr>
            <w:r>
              <w:rPr>
                <w:b/>
                <w:sz w:val="15"/>
              </w:rPr>
              <w:t>Definition</w:t>
            </w:r>
          </w:p>
        </w:tc>
        <w:tc>
          <w:tcPr>
            <w:tcW w:type="dxa" w:w="3168"/>
            <w:shd w:fill="D9E6EA"/>
            <w:vAlign w:val="center"/>
            <w:tcMar>
              <w:top w:w="90" w:type="dxa"/>
              <w:start w:w="110" w:type="dxa"/>
              <w:bottom w:w="90" w:type="dxa"/>
              <w:end w:w="110" w:type="dxa"/>
            </w:tcMar>
          </w:tcPr>
          <w:p>
            <w:pPr>
              <w:jc w:val="center"/>
            </w:pPr>
            <w:r>
              <w:rPr>
                <w:b/>
                <w:sz w:val="15"/>
              </w:rPr>
              <w:t>Required action</w:t>
            </w:r>
          </w:p>
        </w:tc>
      </w:tr>
      <w:tr>
        <w:tc>
          <w:tcPr>
            <w:tcW w:type="dxa" w:w="2376"/>
            <w:vAlign w:val="top"/>
            <w:tcMar>
              <w:top w:w="90" w:type="dxa"/>
              <w:start w:w="110" w:type="dxa"/>
              <w:bottom w:w="90" w:type="dxa"/>
              <w:end w:w="110" w:type="dxa"/>
            </w:tcMar>
          </w:tcPr>
          <w:p>
            <w:pPr>
              <w:spacing w:after="0"/>
            </w:pPr>
            <w:r>
              <w:rPr>
                <w:sz w:val="15"/>
              </w:rPr>
              <w:t>UN_PROTECTED_SEPARATE</w:t>
            </w:r>
          </w:p>
        </w:tc>
        <w:tc>
          <w:tcPr>
            <w:tcW w:type="dxa" w:w="4032"/>
            <w:vAlign w:val="top"/>
            <w:tcMar>
              <w:top w:w="90" w:type="dxa"/>
              <w:start w:w="110" w:type="dxa"/>
              <w:bottom w:w="90" w:type="dxa"/>
              <w:end w:w="110" w:type="dxa"/>
            </w:tcMar>
          </w:tcPr>
          <w:p>
            <w:pPr>
              <w:spacing w:after="0"/>
            </w:pPr>
            <w:r>
              <w:rPr>
                <w:sz w:val="15"/>
              </w:rPr>
              <w:t>Qualifying UN-related article or distinct UN framing.</w:t>
            </w:r>
          </w:p>
        </w:tc>
        <w:tc>
          <w:tcPr>
            <w:tcW w:type="dxa" w:w="3168"/>
            <w:vAlign w:val="top"/>
            <w:tcMar>
              <w:top w:w="90" w:type="dxa"/>
              <w:start w:w="110" w:type="dxa"/>
              <w:bottom w:w="90" w:type="dxa"/>
              <w:end w:w="110" w:type="dxa"/>
            </w:tcMar>
          </w:tcPr>
          <w:p>
            <w:pPr>
              <w:spacing w:after="0"/>
            </w:pPr>
            <w:r>
              <w:rPr>
                <w:sz w:val="15"/>
              </w:rPr>
              <w:t>Keep as a separate article-level bullet. Do not merge under ordinary duplicate logic.</w:t>
            </w:r>
          </w:p>
        </w:tc>
      </w:tr>
      <w:tr>
        <w:tc>
          <w:tcPr>
            <w:tcW w:type="dxa" w:w="2376"/>
            <w:vAlign w:val="top"/>
            <w:tcMar>
              <w:top w:w="90" w:type="dxa"/>
              <w:start w:w="110" w:type="dxa"/>
              <w:bottom w:w="90" w:type="dxa"/>
              <w:end w:w="110" w:type="dxa"/>
            </w:tcMar>
          </w:tcPr>
          <w:p>
            <w:pPr>
              <w:spacing w:after="0"/>
            </w:pPr>
            <w:r>
              <w:rPr>
                <w:sz w:val="15"/>
              </w:rPr>
              <w:t>EXACT_DUPLICATE</w:t>
            </w:r>
          </w:p>
        </w:tc>
        <w:tc>
          <w:tcPr>
            <w:tcW w:type="dxa" w:w="4032"/>
            <w:vAlign w:val="top"/>
            <w:tcMar>
              <w:top w:w="90" w:type="dxa"/>
              <w:start w:w="110" w:type="dxa"/>
              <w:bottom w:w="90" w:type="dxa"/>
              <w:end w:w="110" w:type="dxa"/>
            </w:tcMar>
          </w:tcPr>
          <w:p>
            <w:pPr>
              <w:spacing w:after="0"/>
            </w:pPr>
            <w:r>
              <w:rPr>
                <w:sz w:val="15"/>
              </w:rPr>
              <w:t>Same article URL, same outlet and same content repeated in the input.</w:t>
            </w:r>
          </w:p>
        </w:tc>
        <w:tc>
          <w:tcPr>
            <w:tcW w:type="dxa" w:w="3168"/>
            <w:vAlign w:val="top"/>
            <w:tcMar>
              <w:top w:w="90" w:type="dxa"/>
              <w:start w:w="110" w:type="dxa"/>
              <w:bottom w:w="90" w:type="dxa"/>
              <w:end w:w="110" w:type="dxa"/>
            </w:tcMar>
          </w:tcPr>
          <w:p>
            <w:pPr>
              <w:spacing w:after="0"/>
            </w:pPr>
            <w:r>
              <w:rPr>
                <w:sz w:val="15"/>
              </w:rPr>
              <w:t>Keep one record as included; mark repeated records MERGED or EXCLUDED with exact-duplicate reference.</w:t>
            </w:r>
          </w:p>
        </w:tc>
      </w:tr>
      <w:tr>
        <w:tc>
          <w:tcPr>
            <w:tcW w:type="dxa" w:w="2376"/>
            <w:vAlign w:val="top"/>
            <w:tcMar>
              <w:top w:w="90" w:type="dxa"/>
              <w:start w:w="110" w:type="dxa"/>
              <w:bottom w:w="90" w:type="dxa"/>
              <w:end w:w="110" w:type="dxa"/>
            </w:tcMar>
          </w:tcPr>
          <w:p>
            <w:pPr>
              <w:spacing w:after="0"/>
            </w:pPr>
            <w:r>
              <w:rPr>
                <w:sz w:val="15"/>
              </w:rPr>
              <w:t>SYNDICATED_IDENTICAL</w:t>
            </w:r>
          </w:p>
        </w:tc>
        <w:tc>
          <w:tcPr>
            <w:tcW w:type="dxa" w:w="4032"/>
            <w:vAlign w:val="top"/>
            <w:tcMar>
              <w:top w:w="90" w:type="dxa"/>
              <w:start w:w="110" w:type="dxa"/>
              <w:bottom w:w="90" w:type="dxa"/>
              <w:end w:w="110" w:type="dxa"/>
            </w:tcMar>
          </w:tcPr>
          <w:p>
            <w:pPr>
              <w:spacing w:after="0"/>
            </w:pPr>
            <w:r>
              <w:rPr>
                <w:sz w:val="15"/>
              </w:rPr>
              <w:t>Substantially identical non-UN wire copy or republication.</w:t>
            </w:r>
          </w:p>
        </w:tc>
        <w:tc>
          <w:tcPr>
            <w:tcW w:type="dxa" w:w="3168"/>
            <w:vAlign w:val="top"/>
            <w:tcMar>
              <w:top w:w="90" w:type="dxa"/>
              <w:start w:w="110" w:type="dxa"/>
              <w:bottom w:w="90" w:type="dxa"/>
              <w:end w:w="110" w:type="dxa"/>
            </w:tcMar>
          </w:tcPr>
          <w:p>
            <w:pPr>
              <w:spacing w:after="0"/>
            </w:pPr>
            <w:r>
              <w:rPr>
                <w:sz w:val="15"/>
              </w:rPr>
              <w:t>May combine sources if the same fact and framing are preserved.</w:t>
            </w:r>
          </w:p>
        </w:tc>
      </w:tr>
      <w:tr>
        <w:tc>
          <w:tcPr>
            <w:tcW w:type="dxa" w:w="2376"/>
            <w:vAlign w:val="top"/>
            <w:tcMar>
              <w:top w:w="90" w:type="dxa"/>
              <w:start w:w="110" w:type="dxa"/>
              <w:bottom w:w="90" w:type="dxa"/>
              <w:end w:w="110" w:type="dxa"/>
            </w:tcMar>
          </w:tcPr>
          <w:p>
            <w:pPr>
              <w:spacing w:after="0"/>
            </w:pPr>
            <w:r>
              <w:rPr>
                <w:sz w:val="15"/>
              </w:rPr>
              <w:t>SAME_EVENT_SAME_FACT</w:t>
            </w:r>
          </w:p>
        </w:tc>
        <w:tc>
          <w:tcPr>
            <w:tcW w:type="dxa" w:w="4032"/>
            <w:vAlign w:val="top"/>
            <w:tcMar>
              <w:top w:w="90" w:type="dxa"/>
              <w:start w:w="110" w:type="dxa"/>
              <w:bottom w:w="90" w:type="dxa"/>
              <w:end w:w="110" w:type="dxa"/>
            </w:tcMar>
          </w:tcPr>
          <w:p>
            <w:pPr>
              <w:spacing w:after="0"/>
            </w:pPr>
            <w:r>
              <w:rPr>
                <w:sz w:val="15"/>
              </w:rPr>
              <w:t>Different non-UN outlets report materially the same event and fact.</w:t>
            </w:r>
          </w:p>
        </w:tc>
        <w:tc>
          <w:tcPr>
            <w:tcW w:type="dxa" w:w="3168"/>
            <w:vAlign w:val="top"/>
            <w:tcMar>
              <w:top w:w="90" w:type="dxa"/>
              <w:start w:w="110" w:type="dxa"/>
              <w:bottom w:w="90" w:type="dxa"/>
              <w:end w:w="110" w:type="dxa"/>
            </w:tcMar>
          </w:tcPr>
          <w:p>
            <w:pPr>
              <w:spacing w:after="0"/>
            </w:pPr>
            <w:r>
              <w:rPr>
                <w:sz w:val="15"/>
              </w:rPr>
              <w:t>May consolidate into one headline with several source hyperlinks.</w:t>
            </w:r>
          </w:p>
        </w:tc>
      </w:tr>
      <w:tr>
        <w:tc>
          <w:tcPr>
            <w:tcW w:type="dxa" w:w="2376"/>
            <w:vAlign w:val="top"/>
            <w:tcMar>
              <w:top w:w="90" w:type="dxa"/>
              <w:start w:w="110" w:type="dxa"/>
              <w:bottom w:w="90" w:type="dxa"/>
              <w:end w:w="110" w:type="dxa"/>
            </w:tcMar>
          </w:tcPr>
          <w:p>
            <w:pPr>
              <w:spacing w:after="0"/>
            </w:pPr>
            <w:r>
              <w:rPr>
                <w:sz w:val="15"/>
              </w:rPr>
              <w:t>SAME_EVENT_DIFFERENT_FRAMING</w:t>
            </w:r>
          </w:p>
        </w:tc>
        <w:tc>
          <w:tcPr>
            <w:tcW w:type="dxa" w:w="4032"/>
            <w:vAlign w:val="top"/>
            <w:tcMar>
              <w:top w:w="90" w:type="dxa"/>
              <w:start w:w="110" w:type="dxa"/>
              <w:bottom w:w="90" w:type="dxa"/>
              <w:end w:w="110" w:type="dxa"/>
            </w:tcMar>
          </w:tcPr>
          <w:p>
            <w:pPr>
              <w:spacing w:after="0"/>
            </w:pPr>
            <w:r>
              <w:rPr>
                <w:sz w:val="15"/>
              </w:rPr>
              <w:t>Same event but a different statement, number, allegation, reaction or angle.</w:t>
            </w:r>
          </w:p>
        </w:tc>
        <w:tc>
          <w:tcPr>
            <w:tcW w:type="dxa" w:w="3168"/>
            <w:vAlign w:val="top"/>
            <w:tcMar>
              <w:top w:w="90" w:type="dxa"/>
              <w:start w:w="110" w:type="dxa"/>
              <w:bottom w:w="90" w:type="dxa"/>
              <w:end w:w="110" w:type="dxa"/>
            </w:tcMar>
          </w:tcPr>
          <w:p>
            <w:pPr>
              <w:spacing w:after="0"/>
            </w:pPr>
            <w:r>
              <w:rPr>
                <w:sz w:val="15"/>
              </w:rPr>
              <w:t>Keep separate.</w:t>
            </w:r>
          </w:p>
        </w:tc>
      </w:tr>
      <w:tr>
        <w:tc>
          <w:tcPr>
            <w:tcW w:type="dxa" w:w="2376"/>
            <w:vAlign w:val="top"/>
            <w:tcMar>
              <w:top w:w="90" w:type="dxa"/>
              <w:start w:w="110" w:type="dxa"/>
              <w:bottom w:w="90" w:type="dxa"/>
              <w:end w:w="110" w:type="dxa"/>
            </w:tcMar>
          </w:tcPr>
          <w:p>
            <w:pPr>
              <w:spacing w:after="0"/>
            </w:pPr>
            <w:r>
              <w:rPr>
                <w:sz w:val="15"/>
              </w:rPr>
              <w:t>FOLLOW_UP_DEVELOPMENT</w:t>
            </w:r>
          </w:p>
        </w:tc>
        <w:tc>
          <w:tcPr>
            <w:tcW w:type="dxa" w:w="4032"/>
            <w:vAlign w:val="top"/>
            <w:tcMar>
              <w:top w:w="90" w:type="dxa"/>
              <w:start w:w="110" w:type="dxa"/>
              <w:bottom w:w="90" w:type="dxa"/>
              <w:end w:w="110" w:type="dxa"/>
            </w:tcMar>
          </w:tcPr>
          <w:p>
            <w:pPr>
              <w:spacing w:after="0"/>
            </w:pPr>
            <w:r>
              <w:rPr>
                <w:sz w:val="15"/>
              </w:rPr>
              <w:t>Later or additional development in the same continuing story.</w:t>
            </w:r>
          </w:p>
        </w:tc>
        <w:tc>
          <w:tcPr>
            <w:tcW w:type="dxa" w:w="3168"/>
            <w:vAlign w:val="top"/>
            <w:tcMar>
              <w:top w:w="90" w:type="dxa"/>
              <w:start w:w="110" w:type="dxa"/>
              <w:bottom w:w="90" w:type="dxa"/>
              <w:end w:w="110" w:type="dxa"/>
            </w:tcMar>
          </w:tcPr>
          <w:p>
            <w:pPr>
              <w:spacing w:after="0"/>
            </w:pPr>
            <w:r>
              <w:rPr>
                <w:sz w:val="15"/>
              </w:rPr>
              <w:t>Keep separate.</w:t>
            </w:r>
          </w:p>
        </w:tc>
      </w:tr>
      <w:tr>
        <w:tc>
          <w:tcPr>
            <w:tcW w:type="dxa" w:w="2376"/>
            <w:vAlign w:val="top"/>
            <w:tcMar>
              <w:top w:w="90" w:type="dxa"/>
              <w:start w:w="110" w:type="dxa"/>
              <w:bottom w:w="90" w:type="dxa"/>
              <w:end w:w="110" w:type="dxa"/>
            </w:tcMar>
          </w:tcPr>
          <w:p>
            <w:pPr>
              <w:spacing w:after="0"/>
            </w:pPr>
            <w:r>
              <w:rPr>
                <w:sz w:val="15"/>
              </w:rPr>
              <w:t>COMMENTARY_OR_ANALYSIS</w:t>
            </w:r>
          </w:p>
        </w:tc>
        <w:tc>
          <w:tcPr>
            <w:tcW w:type="dxa" w:w="4032"/>
            <w:vAlign w:val="top"/>
            <w:tcMar>
              <w:top w:w="90" w:type="dxa"/>
              <w:start w:w="110" w:type="dxa"/>
              <w:bottom w:w="90" w:type="dxa"/>
              <w:end w:w="110" w:type="dxa"/>
            </w:tcMar>
          </w:tcPr>
          <w:p>
            <w:pPr>
              <w:spacing w:after="0"/>
            </w:pPr>
            <w:r>
              <w:rPr>
                <w:sz w:val="15"/>
              </w:rPr>
              <w:t>Interpretive article rather than straight news.</w:t>
            </w:r>
          </w:p>
        </w:tc>
        <w:tc>
          <w:tcPr>
            <w:tcW w:type="dxa" w:w="3168"/>
            <w:vAlign w:val="top"/>
            <w:tcMar>
              <w:top w:w="90" w:type="dxa"/>
              <w:start w:w="110" w:type="dxa"/>
              <w:bottom w:w="90" w:type="dxa"/>
              <w:end w:w="110" w:type="dxa"/>
            </w:tcMar>
          </w:tcPr>
          <w:p>
            <w:pPr>
              <w:spacing w:after="0"/>
            </w:pPr>
            <w:r>
              <w:rPr>
                <w:sz w:val="15"/>
              </w:rPr>
              <w:t>Keep separate and classify under Politics or Varieties as appropriate.</w:t>
            </w:r>
          </w:p>
        </w:tc>
      </w:tr>
      <w:tr>
        <w:tc>
          <w:tcPr>
            <w:tcW w:type="dxa" w:w="2376"/>
            <w:vAlign w:val="top"/>
            <w:tcMar>
              <w:top w:w="90" w:type="dxa"/>
              <w:start w:w="110" w:type="dxa"/>
              <w:bottom w:w="90" w:type="dxa"/>
              <w:end w:w="110" w:type="dxa"/>
            </w:tcMar>
          </w:tcPr>
          <w:p>
            <w:pPr>
              <w:spacing w:after="0"/>
            </w:pPr>
            <w:r>
              <w:rPr>
                <w:sz w:val="15"/>
              </w:rPr>
              <w:t>NOT_A_DUPLICATE</w:t>
            </w:r>
          </w:p>
        </w:tc>
        <w:tc>
          <w:tcPr>
            <w:tcW w:type="dxa" w:w="4032"/>
            <w:vAlign w:val="top"/>
            <w:tcMar>
              <w:top w:w="90" w:type="dxa"/>
              <w:start w:w="110" w:type="dxa"/>
              <w:bottom w:w="90" w:type="dxa"/>
              <w:end w:w="110" w:type="dxa"/>
            </w:tcMar>
          </w:tcPr>
          <w:p>
            <w:pPr>
              <w:spacing w:after="0"/>
            </w:pPr>
            <w:r>
              <w:rPr>
                <w:sz w:val="15"/>
              </w:rPr>
              <w:t>No meaningful overlap requiring consolidation.</w:t>
            </w:r>
          </w:p>
        </w:tc>
        <w:tc>
          <w:tcPr>
            <w:tcW w:type="dxa" w:w="3168"/>
            <w:vAlign w:val="top"/>
            <w:tcMar>
              <w:top w:w="90" w:type="dxa"/>
              <w:start w:w="110" w:type="dxa"/>
              <w:bottom w:w="90" w:type="dxa"/>
              <w:end w:w="110" w:type="dxa"/>
            </w:tcMar>
          </w:tcPr>
          <w:p>
            <w:pPr>
              <w:spacing w:after="0"/>
            </w:pPr>
            <w:r>
              <w:rPr>
                <w:sz w:val="15"/>
              </w:rPr>
              <w:t>Keep separate.</w:t>
            </w:r>
          </w:p>
        </w:tc>
      </w:tr>
    </w:tbl>
    <w:tbl>
      <w:tblPr>
        <w:tblStyle w:val="TableGrid"/>
        <w:tblW w:type="auto" w:w="0"/>
        <w:jc w:val="center"/>
        <w:tblLook w:firstColumn="1" w:firstRow="1" w:lastColumn="0" w:lastRow="0" w:noHBand="0" w:noVBand="1" w:val="04A0"/>
      </w:tblPr>
      <w:tblGrid>
        <w:gridCol w:w="9994"/>
      </w:tblGrid>
      <w:tr>
        <w:tc>
          <w:tcPr>
            <w:tcW w:type="dxa" w:w="9994"/>
            <w:shd w:fill="EAF2F4"/>
            <w:tcMar>
              <w:top w:w="120" w:type="dxa"/>
              <w:start w:w="140" w:type="dxa"/>
              <w:bottom w:w="120" w:type="dxa"/>
              <w:end w:w="140" w:type="dxa"/>
            </w:tcMar>
          </w:tcPr>
          <w:p>
            <w:pPr>
              <w:spacing w:after="80"/>
            </w:pPr>
            <w:r>
              <w:rPr>
                <w:b/>
                <w:sz w:val="22"/>
              </w:rPr>
              <w:t>Duplicate-safety rule</w:t>
            </w:r>
          </w:p>
          <w:p>
            <w:pPr>
              <w:spacing w:after="0"/>
            </w:pPr>
            <w:r>
              <w:t>Headline similarity is not sufficient evidence of duplication. Codex must compare article content, actors, numbers, quotations, timing and framing before assigning a duplicate category.</w:t>
            </w:r>
          </w:p>
        </w:tc>
      </w:tr>
    </w:tbl>
    <w:p>
      <w:pPr>
        <w:pStyle w:val="Heading1"/>
        <w:keepNext/>
      </w:pPr>
      <w:r>
        <w:rPr>
          <w:rFonts w:ascii="Calibri" w:hAnsi="Calibri"/>
        </w:rPr>
        <w:t>24. Article-content verification protocol</w:t>
      </w:r>
    </w:p>
    <w:p>
      <w:r>
        <w:rPr>
          <w:rFonts w:ascii="Calibri" w:hAnsi="Calibri"/>
        </w:rPr>
        <w:t>Every retained article must be inspected at article level. Approval based only on a search result, URL slug or scraper title is prohibited.</w:t>
      </w:r>
    </w:p>
    <w:p>
      <w:pPr>
        <w:pStyle w:val="Heading2"/>
        <w:keepNext/>
      </w:pPr>
      <w:r>
        <w:rPr>
          <w:rFonts w:ascii="Calibri" w:hAnsi="Calibri"/>
        </w:rPr>
        <w:t>24.1 Required checks for every included article</w:t>
      </w:r>
    </w:p>
    <w:p>
      <w:pPr>
        <w:pStyle w:val="ListBullet"/>
      </w:pPr>
      <w:r>
        <w:rPr>
          <w:rFonts w:ascii="Calibri" w:hAnsi="Calibri"/>
        </w:rPr>
        <w:t>Open the direct article page.</w:t>
      </w:r>
    </w:p>
    <w:p>
      <w:pPr>
        <w:pStyle w:val="ListBullet"/>
      </w:pPr>
      <w:r>
        <w:rPr>
          <w:rFonts w:ascii="Calibri" w:hAnsi="Calibri"/>
        </w:rPr>
        <w:t>Confirm the outlet matches the source name shown in the report.</w:t>
      </w:r>
    </w:p>
    <w:p>
      <w:pPr>
        <w:pStyle w:val="ListBullet"/>
      </w:pPr>
      <w:r>
        <w:rPr>
          <w:rFonts w:ascii="Calibri" w:hAnsi="Calibri"/>
        </w:rPr>
        <w:t>Capture the original article headline.</w:t>
      </w:r>
    </w:p>
    <w:p>
      <w:pPr>
        <w:pStyle w:val="ListBullet"/>
      </w:pPr>
      <w:r>
        <w:rPr>
          <w:rFonts w:ascii="Calibri" w:hAnsi="Calibri"/>
        </w:rPr>
        <w:t>Verify the publication timestamp and any update timestamp.</w:t>
      </w:r>
    </w:p>
    <w:p>
      <w:pPr>
        <w:pStyle w:val="ListBullet"/>
      </w:pPr>
      <w:r>
        <w:rPr>
          <w:rFonts w:ascii="Calibri" w:hAnsi="Calibri"/>
        </w:rPr>
        <w:t>Read sufficient article content to confirm the central fact and framing.</w:t>
      </w:r>
    </w:p>
    <w:p>
      <w:pPr>
        <w:pStyle w:val="ListBullet"/>
      </w:pPr>
      <w:r>
        <w:rPr>
          <w:rFonts w:ascii="Calibri" w:hAnsi="Calibri"/>
        </w:rPr>
        <w:t>Confirm Libya relevance.</w:t>
      </w:r>
    </w:p>
    <w:p>
      <w:pPr>
        <w:pStyle w:val="ListBullet"/>
      </w:pPr>
      <w:r>
        <w:rPr>
          <w:rFonts w:ascii="Calibri" w:hAnsi="Calibri"/>
        </w:rPr>
        <w:t>Verify names, institutional roles, locations, figures and quotations used in the PICS headline.</w:t>
      </w:r>
    </w:p>
    <w:p>
      <w:pPr>
        <w:pStyle w:val="ListBullet"/>
      </w:pPr>
      <w:r>
        <w:rPr>
          <w:rFonts w:ascii="Calibri" w:hAnsi="Calibri"/>
        </w:rPr>
        <w:t>Distinguish allegations, claims, warnings and confirmed facts.</w:t>
      </w:r>
    </w:p>
    <w:p>
      <w:pPr>
        <w:pStyle w:val="ListBullet"/>
      </w:pPr>
      <w:r>
        <w:rPr>
          <w:rFonts w:ascii="Calibri" w:hAnsi="Calibri"/>
        </w:rPr>
        <w:t>Confirm whether the article is new coverage, a follow-up, a republished old story or an updated page.</w:t>
      </w:r>
    </w:p>
    <w:p>
      <w:pPr>
        <w:pStyle w:val="ListBullet"/>
      </w:pPr>
      <w:r>
        <w:rPr>
          <w:rFonts w:ascii="Calibri" w:hAnsi="Calibri"/>
        </w:rPr>
        <w:t>Confirm the final English headline is supported by the article and does not combine unsupported claims.</w:t>
      </w:r>
    </w:p>
    <w:p>
      <w:pPr>
        <w:pStyle w:val="Heading2"/>
        <w:keepNext/>
      </w:pPr>
      <w:r>
        <w:rPr>
          <w:rFonts w:ascii="Calibri" w:hAnsi="Calibri"/>
        </w:rPr>
        <w:t>24.2 Insufficient evidence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D9E6EA"/>
            <w:vAlign w:val="center"/>
            <w:tcMar>
              <w:top w:w="90" w:type="dxa"/>
              <w:start w:w="110" w:type="dxa"/>
              <w:bottom w:w="90" w:type="dxa"/>
              <w:end w:w="110" w:type="dxa"/>
            </w:tcMar>
          </w:tcPr>
          <w:p>
            <w:pPr>
              <w:jc w:val="center"/>
            </w:pPr>
            <w:r>
              <w:rPr>
                <w:b/>
                <w:sz w:val="16"/>
              </w:rPr>
              <w:t>Insufficient source</w:t>
            </w:r>
          </w:p>
        </w:tc>
        <w:tc>
          <w:tcPr>
            <w:tcW w:type="dxa" w:w="6768"/>
            <w:shd w:fill="D9E6EA"/>
            <w:vAlign w:val="center"/>
            <w:tcMar>
              <w:top w:w="90" w:type="dxa"/>
              <w:start w:w="110" w:type="dxa"/>
              <w:bottom w:w="90" w:type="dxa"/>
              <w:end w:w="110" w:type="dxa"/>
            </w:tcMar>
          </w:tcPr>
          <w:p>
            <w:pPr>
              <w:jc w:val="center"/>
            </w:pPr>
            <w:r>
              <w:rPr>
                <w:b/>
                <w:sz w:val="16"/>
              </w:rPr>
              <w:t>Why it is insufficient</w:t>
            </w:r>
          </w:p>
        </w:tc>
      </w:tr>
      <w:tr>
        <w:tc>
          <w:tcPr>
            <w:tcW w:type="dxa" w:w="2592"/>
            <w:vAlign w:val="top"/>
            <w:tcMar>
              <w:top w:w="90" w:type="dxa"/>
              <w:start w:w="110" w:type="dxa"/>
              <w:bottom w:w="90" w:type="dxa"/>
              <w:end w:w="110" w:type="dxa"/>
            </w:tcMar>
          </w:tcPr>
          <w:p>
            <w:pPr>
              <w:spacing w:after="0"/>
            </w:pPr>
            <w:r>
              <w:rPr>
                <w:sz w:val="16"/>
              </w:rPr>
              <w:t>Google News headline or redirect</w:t>
            </w:r>
          </w:p>
        </w:tc>
        <w:tc>
          <w:tcPr>
            <w:tcW w:type="dxa" w:w="6768"/>
            <w:vAlign w:val="top"/>
            <w:tcMar>
              <w:top w:w="90" w:type="dxa"/>
              <w:start w:w="110" w:type="dxa"/>
              <w:bottom w:w="90" w:type="dxa"/>
              <w:end w:w="110" w:type="dxa"/>
            </w:tcMar>
          </w:tcPr>
          <w:p>
            <w:pPr>
              <w:spacing w:after="0"/>
            </w:pPr>
            <w:r>
              <w:rPr>
                <w:sz w:val="16"/>
              </w:rPr>
              <w:t>May be truncated, stale, incorrectly attributed or detached from the article body.</w:t>
            </w:r>
          </w:p>
        </w:tc>
      </w:tr>
      <w:tr>
        <w:tc>
          <w:tcPr>
            <w:tcW w:type="dxa" w:w="2592"/>
            <w:vAlign w:val="top"/>
            <w:tcMar>
              <w:top w:w="90" w:type="dxa"/>
              <w:start w:w="110" w:type="dxa"/>
              <w:bottom w:w="90" w:type="dxa"/>
              <w:end w:w="110" w:type="dxa"/>
            </w:tcMar>
          </w:tcPr>
          <w:p>
            <w:pPr>
              <w:spacing w:after="0"/>
            </w:pPr>
            <w:r>
              <w:rPr>
                <w:sz w:val="16"/>
              </w:rPr>
              <w:t>Search-result snippet</w:t>
            </w:r>
          </w:p>
        </w:tc>
        <w:tc>
          <w:tcPr>
            <w:tcW w:type="dxa" w:w="6768"/>
            <w:vAlign w:val="top"/>
            <w:tcMar>
              <w:top w:w="90" w:type="dxa"/>
              <w:start w:w="110" w:type="dxa"/>
              <w:bottom w:w="90" w:type="dxa"/>
              <w:end w:w="110" w:type="dxa"/>
            </w:tcMar>
          </w:tcPr>
          <w:p>
            <w:pPr>
              <w:spacing w:after="0"/>
            </w:pPr>
            <w:r>
              <w:rPr>
                <w:sz w:val="16"/>
              </w:rPr>
              <w:t>May omit qualifications, dates or context.</w:t>
            </w:r>
          </w:p>
        </w:tc>
      </w:tr>
      <w:tr>
        <w:tc>
          <w:tcPr>
            <w:tcW w:type="dxa" w:w="2592"/>
            <w:vAlign w:val="top"/>
            <w:tcMar>
              <w:top w:w="90" w:type="dxa"/>
              <w:start w:w="110" w:type="dxa"/>
              <w:bottom w:w="90" w:type="dxa"/>
              <w:end w:w="110" w:type="dxa"/>
            </w:tcMar>
          </w:tcPr>
          <w:p>
            <w:pPr>
              <w:spacing w:after="0"/>
            </w:pPr>
            <w:r>
              <w:rPr>
                <w:sz w:val="16"/>
              </w:rPr>
              <w:t>URL slug</w:t>
            </w:r>
          </w:p>
        </w:tc>
        <w:tc>
          <w:tcPr>
            <w:tcW w:type="dxa" w:w="6768"/>
            <w:vAlign w:val="top"/>
            <w:tcMar>
              <w:top w:w="90" w:type="dxa"/>
              <w:start w:w="110" w:type="dxa"/>
              <w:bottom w:w="90" w:type="dxa"/>
              <w:end w:w="110" w:type="dxa"/>
            </w:tcMar>
          </w:tcPr>
          <w:p>
            <w:pPr>
              <w:spacing w:after="0"/>
            </w:pPr>
            <w:r>
              <w:rPr>
                <w:sz w:val="16"/>
              </w:rPr>
              <w:t>May be edited, incomplete or misleading.</w:t>
            </w:r>
          </w:p>
        </w:tc>
      </w:tr>
      <w:tr>
        <w:tc>
          <w:tcPr>
            <w:tcW w:type="dxa" w:w="2592"/>
            <w:vAlign w:val="top"/>
            <w:tcMar>
              <w:top w:w="90" w:type="dxa"/>
              <w:start w:w="110" w:type="dxa"/>
              <w:bottom w:w="90" w:type="dxa"/>
              <w:end w:w="110" w:type="dxa"/>
            </w:tcMar>
          </w:tcPr>
          <w:p>
            <w:pPr>
              <w:spacing w:after="0"/>
            </w:pPr>
            <w:r>
              <w:rPr>
                <w:sz w:val="16"/>
              </w:rPr>
              <w:t>Homepage preview</w:t>
            </w:r>
          </w:p>
        </w:tc>
        <w:tc>
          <w:tcPr>
            <w:tcW w:type="dxa" w:w="6768"/>
            <w:vAlign w:val="top"/>
            <w:tcMar>
              <w:top w:w="90" w:type="dxa"/>
              <w:start w:w="110" w:type="dxa"/>
              <w:bottom w:w="90" w:type="dxa"/>
              <w:end w:w="110" w:type="dxa"/>
            </w:tcMar>
          </w:tcPr>
          <w:p>
            <w:pPr>
              <w:spacing w:after="0"/>
            </w:pPr>
            <w:r>
              <w:rPr>
                <w:sz w:val="16"/>
              </w:rPr>
              <w:t>May point to a later or different article.</w:t>
            </w:r>
          </w:p>
        </w:tc>
      </w:tr>
      <w:tr>
        <w:tc>
          <w:tcPr>
            <w:tcW w:type="dxa" w:w="2592"/>
            <w:vAlign w:val="top"/>
            <w:tcMar>
              <w:top w:w="90" w:type="dxa"/>
              <w:start w:w="110" w:type="dxa"/>
              <w:bottom w:w="90" w:type="dxa"/>
              <w:end w:w="110" w:type="dxa"/>
            </w:tcMar>
          </w:tcPr>
          <w:p>
            <w:pPr>
              <w:spacing w:after="0"/>
            </w:pPr>
            <w:r>
              <w:rPr>
                <w:sz w:val="16"/>
              </w:rPr>
              <w:t>AI-generated metadata</w:t>
            </w:r>
          </w:p>
        </w:tc>
        <w:tc>
          <w:tcPr>
            <w:tcW w:type="dxa" w:w="6768"/>
            <w:vAlign w:val="top"/>
            <w:tcMar>
              <w:top w:w="90" w:type="dxa"/>
              <w:start w:w="110" w:type="dxa"/>
              <w:bottom w:w="90" w:type="dxa"/>
              <w:end w:w="110" w:type="dxa"/>
            </w:tcMar>
          </w:tcPr>
          <w:p>
            <w:pPr>
              <w:spacing w:after="0"/>
            </w:pPr>
            <w:r>
              <w:rPr>
                <w:sz w:val="16"/>
              </w:rPr>
              <w:t>May invent or over-generalise facts.</w:t>
            </w:r>
          </w:p>
        </w:tc>
      </w:tr>
      <w:tr>
        <w:tc>
          <w:tcPr>
            <w:tcW w:type="dxa" w:w="2592"/>
            <w:vAlign w:val="top"/>
            <w:tcMar>
              <w:top w:w="90" w:type="dxa"/>
              <w:start w:w="110" w:type="dxa"/>
              <w:bottom w:w="90" w:type="dxa"/>
              <w:end w:w="110" w:type="dxa"/>
            </w:tcMar>
          </w:tcPr>
          <w:p>
            <w:pPr>
              <w:spacing w:after="0"/>
            </w:pPr>
            <w:r>
              <w:rPr>
                <w:sz w:val="16"/>
              </w:rPr>
              <w:t>Another outlet’s summary</w:t>
            </w:r>
          </w:p>
        </w:tc>
        <w:tc>
          <w:tcPr>
            <w:tcW w:type="dxa" w:w="6768"/>
            <w:vAlign w:val="top"/>
            <w:tcMar>
              <w:top w:w="90" w:type="dxa"/>
              <w:start w:w="110" w:type="dxa"/>
              <w:bottom w:w="90" w:type="dxa"/>
              <w:end w:w="110" w:type="dxa"/>
            </w:tcMar>
          </w:tcPr>
          <w:p>
            <w:pPr>
              <w:spacing w:after="0"/>
            </w:pPr>
            <w:r>
              <w:rPr>
                <w:sz w:val="16"/>
              </w:rPr>
              <w:t>Cannot substitute for verification of the linked source.</w:t>
            </w:r>
          </w:p>
        </w:tc>
      </w:tr>
      <w:tr>
        <w:tc>
          <w:tcPr>
            <w:tcW w:type="dxa" w:w="2592"/>
            <w:vAlign w:val="top"/>
            <w:tcMar>
              <w:top w:w="90" w:type="dxa"/>
              <w:start w:w="110" w:type="dxa"/>
              <w:bottom w:w="90" w:type="dxa"/>
              <w:end w:w="110" w:type="dxa"/>
            </w:tcMar>
          </w:tcPr>
          <w:p>
            <w:pPr>
              <w:spacing w:after="0"/>
            </w:pPr>
            <w:r>
              <w:rPr>
                <w:sz w:val="16"/>
              </w:rPr>
              <w:t>Social-media preview card</w:t>
            </w:r>
          </w:p>
        </w:tc>
        <w:tc>
          <w:tcPr>
            <w:tcW w:type="dxa" w:w="6768"/>
            <w:vAlign w:val="top"/>
            <w:tcMar>
              <w:top w:w="90" w:type="dxa"/>
              <w:start w:w="110" w:type="dxa"/>
              <w:bottom w:w="90" w:type="dxa"/>
              <w:end w:w="110" w:type="dxa"/>
            </w:tcMar>
          </w:tcPr>
          <w:p>
            <w:pPr>
              <w:spacing w:after="0"/>
            </w:pPr>
            <w:r>
              <w:rPr>
                <w:sz w:val="16"/>
              </w:rPr>
              <w:t>May not reflect the final article headline or body.</w:t>
            </w:r>
          </w:p>
        </w:tc>
      </w:tr>
    </w:tbl>
    <w:tbl>
      <w:tblPr>
        <w:tblStyle w:val="TableGrid"/>
        <w:tblW w:type="auto" w:w="0"/>
        <w:jc w:val="center"/>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Pr>
          <w:p>
            <w:pPr>
              <w:spacing w:after="80"/>
            </w:pPr>
            <w:r>
              <w:rPr>
                <w:b/>
                <w:sz w:val="22"/>
              </w:rPr>
              <w:t>Unverifiable-page rule</w:t>
            </w:r>
          </w:p>
          <w:p>
            <w:pPr>
              <w:spacing w:after="0"/>
            </w:pPr>
            <w:r>
              <w:t>If the article cannot be inspected sufficiently, mark the record UNRESOLVED. Do not silently include it and do not silently discard it. Resolve the issue or document a defensible exclusion before delivery.</w:t>
            </w:r>
          </w:p>
        </w:tc>
      </w:tr>
    </w:tbl>
    <w:p>
      <w:pPr>
        <w:pStyle w:val="Heading1"/>
        <w:keepNext/>
      </w:pPr>
      <w:r>
        <w:rPr>
          <w:rFonts w:ascii="Calibri" w:hAnsi="Calibri"/>
        </w:rPr>
        <w:t>25. Date-verification protocol</w:t>
      </w:r>
    </w:p>
    <w:p>
      <w:pPr>
        <w:pStyle w:val="Heading2"/>
        <w:keepNext/>
      </w:pPr>
      <w:r>
        <w:rPr>
          <w:rFonts w:ascii="Calibri" w:hAnsi="Calibri"/>
        </w:rPr>
        <w:t>25.1 Evidence hierarchy</w:t>
      </w:r>
    </w:p>
    <w:p>
      <w:r>
        <w:rPr>
          <w:rFonts w:ascii="Calibri" w:hAnsi="Calibri"/>
        </w:rPr>
        <w:t>Use the strongest available evidence in this order:</w:t>
      </w:r>
    </w:p>
    <w:p>
      <w:pPr>
        <w:spacing w:after="60"/>
        <w:ind w:left="240" w:hanging="240"/>
      </w:pPr>
      <w:r>
        <w:t>1. Publication timestamp displayed on the article page.</w:t>
      </w:r>
    </w:p>
    <w:p>
      <w:pPr>
        <w:spacing w:after="60"/>
        <w:ind w:left="240" w:hanging="240"/>
      </w:pPr>
      <w:r>
        <w:t>2. Structured metadata embedded in the article page.</w:t>
      </w:r>
    </w:p>
    <w:p>
      <w:pPr>
        <w:spacing w:after="60"/>
        <w:ind w:left="240" w:hanging="240"/>
      </w:pPr>
      <w:r>
        <w:t>3. The outlet’s dated archive or article listing.</w:t>
      </w:r>
    </w:p>
    <w:p>
      <w:pPr>
        <w:spacing w:after="60"/>
        <w:ind w:left="240" w:hanging="240"/>
      </w:pPr>
      <w:r>
        <w:t>4. A reliable search result used only as supporting evidence.</w:t>
      </w:r>
    </w:p>
    <w:p>
      <w:pPr>
        <w:spacing w:after="60"/>
        <w:ind w:left="240" w:hanging="240"/>
      </w:pPr>
      <w:r>
        <w:t>5. A date contained in the URL, used only as a last-resort clue and never as sole proof when the page contradicts it.</w:t>
      </w:r>
    </w:p>
    <w:p>
      <w:pPr>
        <w:pStyle w:val="Heading2"/>
        <w:keepNext/>
      </w:pPr>
      <w:r>
        <w:rPr>
          <w:rFonts w:ascii="Calibri" w:hAnsi="Calibri"/>
        </w:rPr>
        <w:t>25.2 Dates that must not be confused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shd w:fill="D9E6EA"/>
            <w:vAlign w:val="center"/>
            <w:tcMar>
              <w:top w:w="90" w:type="dxa"/>
              <w:start w:w="110" w:type="dxa"/>
              <w:bottom w:w="90" w:type="dxa"/>
              <w:end w:w="110" w:type="dxa"/>
            </w:tcMar>
          </w:tcPr>
          <w:p>
            <w:pPr>
              <w:jc w:val="center"/>
            </w:pPr>
            <w:r>
              <w:rPr>
                <w:b/>
                <w:sz w:val="16"/>
              </w:rPr>
              <w:t>Date type</w:t>
            </w:r>
          </w:p>
        </w:tc>
        <w:tc>
          <w:tcPr>
            <w:tcW w:type="dxa" w:w="3456"/>
            <w:shd w:fill="D9E6EA"/>
            <w:vAlign w:val="center"/>
            <w:tcMar>
              <w:top w:w="90" w:type="dxa"/>
              <w:start w:w="110" w:type="dxa"/>
              <w:bottom w:w="90" w:type="dxa"/>
              <w:end w:w="110" w:type="dxa"/>
            </w:tcMar>
          </w:tcPr>
          <w:p>
            <w:pPr>
              <w:jc w:val="center"/>
            </w:pPr>
            <w:r>
              <w:rPr>
                <w:b/>
                <w:sz w:val="16"/>
              </w:rPr>
              <w:t>Meaning</w:t>
            </w:r>
          </w:p>
        </w:tc>
        <w:tc>
          <w:tcPr>
            <w:tcW w:type="dxa" w:w="4176"/>
            <w:shd w:fill="D9E6EA"/>
            <w:vAlign w:val="center"/>
            <w:tcMar>
              <w:top w:w="90" w:type="dxa"/>
              <w:start w:w="110" w:type="dxa"/>
              <w:bottom w:w="90" w:type="dxa"/>
              <w:end w:w="110" w:type="dxa"/>
            </w:tcMar>
          </w:tcPr>
          <w:p>
            <w:pPr>
              <w:jc w:val="center"/>
            </w:pPr>
            <w:r>
              <w:rPr>
                <w:b/>
                <w:sz w:val="16"/>
              </w:rPr>
              <w:t>Use</w:t>
            </w:r>
          </w:p>
        </w:tc>
      </w:tr>
      <w:tr>
        <w:tc>
          <w:tcPr>
            <w:tcW w:type="dxa" w:w="1872"/>
            <w:vAlign w:val="top"/>
            <w:tcMar>
              <w:top w:w="90" w:type="dxa"/>
              <w:start w:w="110" w:type="dxa"/>
              <w:bottom w:w="90" w:type="dxa"/>
              <w:end w:w="110" w:type="dxa"/>
            </w:tcMar>
          </w:tcPr>
          <w:p>
            <w:pPr>
              <w:spacing w:after="0"/>
            </w:pPr>
            <w:r>
              <w:rPr>
                <w:sz w:val="16"/>
              </w:rPr>
              <w:t>Publication date</w:t>
            </w:r>
          </w:p>
        </w:tc>
        <w:tc>
          <w:tcPr>
            <w:tcW w:type="dxa" w:w="3456"/>
            <w:vAlign w:val="top"/>
            <w:tcMar>
              <w:top w:w="90" w:type="dxa"/>
              <w:start w:w="110" w:type="dxa"/>
              <w:bottom w:w="90" w:type="dxa"/>
              <w:end w:w="110" w:type="dxa"/>
            </w:tcMar>
          </w:tcPr>
          <w:p>
            <w:pPr>
              <w:spacing w:after="0"/>
            </w:pPr>
            <w:r>
              <w:rPr>
                <w:sz w:val="16"/>
              </w:rPr>
              <w:t>When the article was first published.</w:t>
            </w:r>
          </w:p>
        </w:tc>
        <w:tc>
          <w:tcPr>
            <w:tcW w:type="dxa" w:w="4176"/>
            <w:vAlign w:val="top"/>
            <w:tcMar>
              <w:top w:w="90" w:type="dxa"/>
              <w:start w:w="110" w:type="dxa"/>
              <w:bottom w:w="90" w:type="dxa"/>
              <w:end w:w="110" w:type="dxa"/>
            </w:tcMar>
          </w:tcPr>
          <w:p>
            <w:pPr>
              <w:spacing w:after="0"/>
            </w:pPr>
            <w:r>
              <w:rPr>
                <w:sz w:val="16"/>
              </w:rPr>
              <w:t>Primary coverage-window test unless the user instructs otherwise.</w:t>
            </w:r>
          </w:p>
        </w:tc>
      </w:tr>
      <w:tr>
        <w:tc>
          <w:tcPr>
            <w:tcW w:type="dxa" w:w="1872"/>
            <w:vAlign w:val="top"/>
            <w:tcMar>
              <w:top w:w="90" w:type="dxa"/>
              <w:start w:w="110" w:type="dxa"/>
              <w:bottom w:w="90" w:type="dxa"/>
              <w:end w:w="110" w:type="dxa"/>
            </w:tcMar>
          </w:tcPr>
          <w:p>
            <w:pPr>
              <w:spacing w:after="0"/>
            </w:pPr>
            <w:r>
              <w:rPr>
                <w:sz w:val="16"/>
              </w:rPr>
              <w:t>Updated date</w:t>
            </w:r>
          </w:p>
        </w:tc>
        <w:tc>
          <w:tcPr>
            <w:tcW w:type="dxa" w:w="3456"/>
            <w:vAlign w:val="top"/>
            <w:tcMar>
              <w:top w:w="90" w:type="dxa"/>
              <w:start w:w="110" w:type="dxa"/>
              <w:bottom w:w="90" w:type="dxa"/>
              <w:end w:w="110" w:type="dxa"/>
            </w:tcMar>
          </w:tcPr>
          <w:p>
            <w:pPr>
              <w:spacing w:after="0"/>
            </w:pPr>
            <w:r>
              <w:rPr>
                <w:sz w:val="16"/>
              </w:rPr>
              <w:t>When an existing page was modified.</w:t>
            </w:r>
          </w:p>
        </w:tc>
        <w:tc>
          <w:tcPr>
            <w:tcW w:type="dxa" w:w="4176"/>
            <w:vAlign w:val="top"/>
            <w:tcMar>
              <w:top w:w="90" w:type="dxa"/>
              <w:start w:w="110" w:type="dxa"/>
              <w:bottom w:w="90" w:type="dxa"/>
              <w:end w:w="110" w:type="dxa"/>
            </w:tcMar>
          </w:tcPr>
          <w:p>
            <w:pPr>
              <w:spacing w:after="0"/>
            </w:pPr>
            <w:r>
              <w:rPr>
                <w:sz w:val="16"/>
              </w:rPr>
              <w:t>Record separately; do not automatically treat an old article as new.</w:t>
            </w:r>
          </w:p>
        </w:tc>
      </w:tr>
      <w:tr>
        <w:tc>
          <w:tcPr>
            <w:tcW w:type="dxa" w:w="1872"/>
            <w:vAlign w:val="top"/>
            <w:tcMar>
              <w:top w:w="90" w:type="dxa"/>
              <w:start w:w="110" w:type="dxa"/>
              <w:bottom w:w="90" w:type="dxa"/>
              <w:end w:w="110" w:type="dxa"/>
            </w:tcMar>
          </w:tcPr>
          <w:p>
            <w:pPr>
              <w:spacing w:after="0"/>
            </w:pPr>
            <w:r>
              <w:rPr>
                <w:sz w:val="16"/>
              </w:rPr>
              <w:t>Event date</w:t>
            </w:r>
          </w:p>
        </w:tc>
        <w:tc>
          <w:tcPr>
            <w:tcW w:type="dxa" w:w="3456"/>
            <w:vAlign w:val="top"/>
            <w:tcMar>
              <w:top w:w="90" w:type="dxa"/>
              <w:start w:w="110" w:type="dxa"/>
              <w:bottom w:w="90" w:type="dxa"/>
              <w:end w:w="110" w:type="dxa"/>
            </w:tcMar>
          </w:tcPr>
          <w:p>
            <w:pPr>
              <w:spacing w:after="0"/>
            </w:pPr>
            <w:r>
              <w:rPr>
                <w:sz w:val="16"/>
              </w:rPr>
              <w:t>When the reported event occurred.</w:t>
            </w:r>
          </w:p>
        </w:tc>
        <w:tc>
          <w:tcPr>
            <w:tcW w:type="dxa" w:w="4176"/>
            <w:vAlign w:val="top"/>
            <w:tcMar>
              <w:top w:w="90" w:type="dxa"/>
              <w:start w:w="110" w:type="dxa"/>
              <w:bottom w:w="90" w:type="dxa"/>
              <w:end w:w="110" w:type="dxa"/>
            </w:tcMar>
          </w:tcPr>
          <w:p>
            <w:pPr>
              <w:spacing w:after="0"/>
            </w:pPr>
            <w:r>
              <w:rPr>
                <w:sz w:val="16"/>
              </w:rPr>
              <w:t>Useful context but normally not the inclusion date.</w:t>
            </w:r>
          </w:p>
        </w:tc>
      </w:tr>
      <w:tr>
        <w:tc>
          <w:tcPr>
            <w:tcW w:type="dxa" w:w="1872"/>
            <w:vAlign w:val="top"/>
            <w:tcMar>
              <w:top w:w="90" w:type="dxa"/>
              <w:start w:w="110" w:type="dxa"/>
              <w:bottom w:w="90" w:type="dxa"/>
              <w:end w:w="110" w:type="dxa"/>
            </w:tcMar>
          </w:tcPr>
          <w:p>
            <w:pPr>
              <w:spacing w:after="0"/>
            </w:pPr>
            <w:r>
              <w:rPr>
                <w:sz w:val="16"/>
              </w:rPr>
              <w:t>Relative date</w:t>
            </w:r>
          </w:p>
        </w:tc>
        <w:tc>
          <w:tcPr>
            <w:tcW w:type="dxa" w:w="3456"/>
            <w:vAlign w:val="top"/>
            <w:tcMar>
              <w:top w:w="90" w:type="dxa"/>
              <w:start w:w="110" w:type="dxa"/>
              <w:bottom w:w="90" w:type="dxa"/>
              <w:end w:w="110" w:type="dxa"/>
            </w:tcMar>
          </w:tcPr>
          <w:p>
            <w:pPr>
              <w:spacing w:after="0"/>
            </w:pPr>
            <w:r>
              <w:rPr>
                <w:sz w:val="16"/>
              </w:rPr>
              <w:t>“Today”, “yesterday”, etc.</w:t>
            </w:r>
          </w:p>
        </w:tc>
        <w:tc>
          <w:tcPr>
            <w:tcW w:type="dxa" w:w="4176"/>
            <w:vAlign w:val="top"/>
            <w:tcMar>
              <w:top w:w="90" w:type="dxa"/>
              <w:start w:w="110" w:type="dxa"/>
              <w:bottom w:w="90" w:type="dxa"/>
              <w:end w:w="110" w:type="dxa"/>
            </w:tcMar>
          </w:tcPr>
          <w:p>
            <w:pPr>
              <w:spacing w:after="0"/>
            </w:pPr>
            <w:r>
              <w:rPr>
                <w:sz w:val="16"/>
              </w:rPr>
              <w:t>Resolve to an exact date using the page timestamp and Libya time zone when relevant.</w:t>
            </w:r>
          </w:p>
        </w:tc>
      </w:tr>
      <w:tr>
        <w:tc>
          <w:tcPr>
            <w:tcW w:type="dxa" w:w="1872"/>
            <w:vAlign w:val="top"/>
            <w:tcMar>
              <w:top w:w="90" w:type="dxa"/>
              <w:start w:w="110" w:type="dxa"/>
              <w:bottom w:w="90" w:type="dxa"/>
              <w:end w:w="110" w:type="dxa"/>
            </w:tcMar>
          </w:tcPr>
          <w:p>
            <w:pPr>
              <w:spacing w:after="0"/>
            </w:pPr>
            <w:r>
              <w:rPr>
                <w:sz w:val="16"/>
              </w:rPr>
              <w:t>Syndication date</w:t>
            </w:r>
          </w:p>
        </w:tc>
        <w:tc>
          <w:tcPr>
            <w:tcW w:type="dxa" w:w="3456"/>
            <w:vAlign w:val="top"/>
            <w:tcMar>
              <w:top w:w="90" w:type="dxa"/>
              <w:start w:w="110" w:type="dxa"/>
              <w:bottom w:w="90" w:type="dxa"/>
              <w:end w:w="110" w:type="dxa"/>
            </w:tcMar>
          </w:tcPr>
          <w:p>
            <w:pPr>
              <w:spacing w:after="0"/>
            </w:pPr>
            <w:r>
              <w:rPr>
                <w:sz w:val="16"/>
              </w:rPr>
              <w:t>When a copy was republished.</w:t>
            </w:r>
          </w:p>
        </w:tc>
        <w:tc>
          <w:tcPr>
            <w:tcW w:type="dxa" w:w="4176"/>
            <w:vAlign w:val="top"/>
            <w:tcMar>
              <w:top w:w="90" w:type="dxa"/>
              <w:start w:w="110" w:type="dxa"/>
              <w:bottom w:w="90" w:type="dxa"/>
              <w:end w:w="110" w:type="dxa"/>
            </w:tcMar>
          </w:tcPr>
          <w:p>
            <w:pPr>
              <w:spacing w:after="0"/>
            </w:pPr>
            <w:r>
              <w:rPr>
                <w:sz w:val="16"/>
              </w:rPr>
              <w:t>Determine whether it represents genuinely new coverage or recycled content.</w:t>
            </w:r>
          </w:p>
        </w:tc>
      </w:tr>
    </w:tbl>
    <w:p>
      <w:pPr>
        <w:pStyle w:val="ListBullet"/>
      </w:pPr>
      <w:r>
        <w:rPr>
          <w:rFonts w:ascii="Calibri" w:hAnsi="Calibri"/>
        </w:rPr>
        <w:t>Articles published inside the requested window remain eligible even when the event occurred earlier, particularly for UN coverage, analysis and formal reactions.</w:t>
      </w:r>
    </w:p>
    <w:p>
      <w:pPr>
        <w:pStyle w:val="ListBullet"/>
      </w:pPr>
      <w:r>
        <w:rPr>
          <w:rFonts w:ascii="Calibri" w:hAnsi="Calibri"/>
        </w:rPr>
        <w:t>Old pages updated inside the window require editorial review; a cosmetic update does not create a new story.</w:t>
      </w:r>
    </w:p>
    <w:p>
      <w:pPr>
        <w:pStyle w:val="ListBullet"/>
      </w:pPr>
      <w:r>
        <w:rPr>
          <w:rFonts w:ascii="Calibri" w:hAnsi="Calibri"/>
        </w:rPr>
        <w:t>Recycled reporting, late syndication and republished wire copy must be identified in verification_notes.</w:t>
      </w:r>
    </w:p>
    <w:p>
      <w:pPr>
        <w:pStyle w:val="Heading1"/>
        <w:keepNext/>
      </w:pPr>
      <w:r>
        <w:rPr>
          <w:rFonts w:ascii="Calibri" w:hAnsi="Calibri"/>
        </w:rPr>
        <w:t>26. Automated acceptance tests</w:t>
      </w:r>
    </w:p>
    <w:p>
      <w:r>
        <w:rPr>
          <w:rFonts w:ascii="Calibri" w:hAnsi="Calibri"/>
        </w:rPr>
        <w:t>Codex must run automated validators wherever technically possible and document any rule that required manual inspection. All mandatory tests must pass before delivery.</w:t>
      </w:r>
    </w:p>
    <w:p>
      <w:pPr>
        <w:pStyle w:val="Heading2"/>
        <w:keepNext/>
      </w:pPr>
      <w:r>
        <w:rPr>
          <w:rFonts w:ascii="Calibri" w:hAnsi="Calibri"/>
        </w:rPr>
        <w:t>26.1 Data-integrity and reconciliation tests</w:t>
      </w:r>
    </w:p>
    <w:p>
      <w:pPr>
        <w:pStyle w:val="ListBullet"/>
      </w:pPr>
      <w:r>
        <w:rPr>
          <w:rFonts w:ascii="Calibri" w:hAnsi="Calibri"/>
        </w:rPr>
        <w:t>Total input records equal the sum of INCLUDED, EXCLUDED, MERGED and UNRESOLVED records.</w:t>
      </w:r>
    </w:p>
    <w:p>
      <w:pPr>
        <w:pStyle w:val="ListBullet"/>
      </w:pPr>
      <w:r>
        <w:rPr>
          <w:rFonts w:ascii="Calibri" w:hAnsi="Calibri"/>
        </w:rPr>
        <w:t>UNRESOLVED count equals zero.</w:t>
      </w:r>
    </w:p>
    <w:p>
      <w:pPr>
        <w:pStyle w:val="ListBullet"/>
      </w:pPr>
      <w:r>
        <w:rPr>
          <w:rFonts w:ascii="Calibri" w:hAnsi="Calibri"/>
        </w:rPr>
        <w:t>Every input record has a unique record_id and one final decision.</w:t>
      </w:r>
    </w:p>
    <w:p>
      <w:pPr>
        <w:pStyle w:val="ListBullet"/>
      </w:pPr>
      <w:r>
        <w:rPr>
          <w:rFonts w:ascii="Calibri" w:hAnsi="Calibri"/>
        </w:rPr>
        <w:t>Every INCLUDED and MERGED record has a final_item_id or merge_target.</w:t>
      </w:r>
    </w:p>
    <w:p>
      <w:pPr>
        <w:pStyle w:val="ListBullet"/>
      </w:pPr>
      <w:r>
        <w:rPr>
          <w:rFonts w:ascii="Calibri" w:hAnsi="Calibri"/>
        </w:rPr>
        <w:t>Every final report item maps to one or more verified record_ids.</w:t>
      </w:r>
    </w:p>
    <w:p>
      <w:pPr>
        <w:pStyle w:val="ListBullet"/>
      </w:pPr>
      <w:r>
        <w:rPr>
          <w:rFonts w:ascii="Calibri" w:hAnsi="Calibri"/>
        </w:rPr>
        <w:t>No duplicate direct URL is unintentionally represented twice outside a documented UN or follow-up exception.</w:t>
      </w:r>
    </w:p>
    <w:p>
      <w:pPr>
        <w:pStyle w:val="ListBullet"/>
      </w:pPr>
      <w:r>
        <w:rPr>
          <w:rFonts w:ascii="Calibri" w:hAnsi="Calibri"/>
        </w:rPr>
        <w:t>All exclusion reasons use the controlled reason set or contain a documented justified exception.</w:t>
      </w:r>
    </w:p>
    <w:p>
      <w:pPr>
        <w:pStyle w:val="Heading2"/>
        <w:keepNext/>
      </w:pPr>
      <w:r>
        <w:rPr>
          <w:rFonts w:ascii="Calibri" w:hAnsi="Calibri"/>
        </w:rPr>
        <w:t>26.2 UN-protection tests</w:t>
      </w:r>
    </w:p>
    <w:p>
      <w:pPr>
        <w:pStyle w:val="ListBullet"/>
      </w:pPr>
      <w:r>
        <w:rPr>
          <w:rFonts w:ascii="Calibri" w:hAnsi="Calibri"/>
        </w:rPr>
        <w:t>Every verified UN-related article record appears in the UN inventory.</w:t>
      </w:r>
    </w:p>
    <w:p>
      <w:pPr>
        <w:pStyle w:val="ListBullet"/>
      </w:pPr>
      <w:r>
        <w:rPr>
          <w:rFonts w:ascii="Calibri" w:hAnsi="Calibri"/>
        </w:rPr>
        <w:t>Every protected UN record has a final_item_id unless it is a documented exact duplicate.</w:t>
      </w:r>
    </w:p>
    <w:p>
      <w:pPr>
        <w:pStyle w:val="ListBullet"/>
      </w:pPr>
      <w:r>
        <w:rPr>
          <w:rFonts w:ascii="Calibri" w:hAnsi="Calibri"/>
        </w:rPr>
        <w:t>Each distinct UN article/framing appears as a separate bullet.</w:t>
      </w:r>
    </w:p>
    <w:p>
      <w:pPr>
        <w:pStyle w:val="ListBullet"/>
      </w:pPr>
      <w:r>
        <w:rPr>
          <w:rFonts w:ascii="Calibri" w:hAnsi="Calibri"/>
        </w:rPr>
        <w:t>No ordinary non-UN consolidation rule was applied to a protected UN record.</w:t>
      </w:r>
    </w:p>
    <w:p>
      <w:pPr>
        <w:pStyle w:val="ListBullet"/>
      </w:pPr>
      <w:r>
        <w:rPr>
          <w:rFonts w:ascii="Calibri" w:hAnsi="Calibri"/>
        </w:rPr>
        <w:t>No UN bullet contains multiple unrelated source articles after one generic combined headline.</w:t>
      </w:r>
    </w:p>
    <w:p>
      <w:pPr>
        <w:pStyle w:val="ListBullet"/>
      </w:pPr>
      <w:r>
        <w:rPr>
          <w:rFonts w:ascii="Calibri" w:hAnsi="Calibri"/>
        </w:rPr>
        <w:t>The verified UN record count reconciles with the final UN bullet count and documented exceptions.</w:t>
      </w:r>
    </w:p>
    <w:p>
      <w:pPr>
        <w:pStyle w:val="Heading2"/>
        <w:keepNext/>
      </w:pPr>
      <w:r>
        <w:rPr>
          <w:rFonts w:ascii="Calibri" w:hAnsi="Calibri"/>
        </w:rPr>
        <w:t>26.3 Content and editorial tests</w:t>
      </w:r>
    </w:p>
    <w:p>
      <w:pPr>
        <w:pStyle w:val="ListBullet"/>
      </w:pPr>
      <w:r>
        <w:rPr>
          <w:rFonts w:ascii="Calibri" w:hAnsi="Calibri"/>
        </w:rPr>
        <w:t>Every final headline is supported by its linked article.</w:t>
      </w:r>
    </w:p>
    <w:p>
      <w:pPr>
        <w:pStyle w:val="ListBullet"/>
      </w:pPr>
      <w:r>
        <w:rPr>
          <w:rFonts w:ascii="Calibri" w:hAnsi="Calibri"/>
        </w:rPr>
        <w:t>Names, roles, numbers, locations and institutional titles match the source.</w:t>
      </w:r>
    </w:p>
    <w:p>
      <w:pPr>
        <w:pStyle w:val="ListBullet"/>
      </w:pPr>
      <w:r>
        <w:rPr>
          <w:rFonts w:ascii="Calibri" w:hAnsi="Calibri"/>
        </w:rPr>
        <w:t>All main sections appear in the prescribed order.</w:t>
      </w:r>
    </w:p>
    <w:p>
      <w:pPr>
        <w:pStyle w:val="ListBullet"/>
      </w:pPr>
      <w:r>
        <w:rPr>
          <w:rFonts w:ascii="Calibri" w:hAnsi="Calibri"/>
        </w:rPr>
        <w:t>No empty subsection or placeholder remains.</w:t>
      </w:r>
    </w:p>
    <w:p>
      <w:pPr>
        <w:pStyle w:val="ListBullet"/>
      </w:pPr>
      <w:r>
        <w:rPr>
          <w:rFonts w:ascii="Calibri" w:hAnsi="Calibri"/>
        </w:rPr>
        <w:t>No generic AI bracket label remains, including [Political Critics], [Media Analysis], [Markets], [Court Ruling], [Institutional Actors], [NOC-UK] or similar invented labels.</w:t>
      </w:r>
    </w:p>
    <w:p>
      <w:pPr>
        <w:pStyle w:val="ListBullet"/>
      </w:pPr>
      <w:r>
        <w:rPr>
          <w:rFonts w:ascii="Calibri" w:hAnsi="Calibri"/>
        </w:rPr>
        <w:t>British English is used consistently.</w:t>
      </w:r>
    </w:p>
    <w:p>
      <w:pPr>
        <w:pStyle w:val="ListBullet"/>
      </w:pPr>
      <w:r>
        <w:rPr>
          <w:rFonts w:ascii="Calibri" w:hAnsi="Calibri"/>
        </w:rPr>
        <w:t>Attribution and degree of certainty are preserved.</w:t>
      </w:r>
    </w:p>
    <w:p>
      <w:pPr>
        <w:pStyle w:val="ListBullet"/>
      </w:pPr>
      <w:r>
        <w:rPr>
          <w:rFonts w:ascii="Calibri" w:hAnsi="Calibri"/>
        </w:rPr>
        <w:t>Varieties labels are applied only to genuine analysis, feature, opinion, think-tank, podcast, documentary or report content.</w:t>
      </w:r>
    </w:p>
    <w:p>
      <w:pPr>
        <w:pStyle w:val="ListBullet"/>
      </w:pPr>
      <w:r>
        <w:rPr>
          <w:rFonts w:ascii="Calibri" w:hAnsi="Calibri"/>
        </w:rPr>
        <w:t>The exact PICS disclaimer is present.</w:t>
      </w:r>
    </w:p>
    <w:p>
      <w:pPr>
        <w:pStyle w:val="Heading2"/>
        <w:keepNext/>
      </w:pPr>
      <w:r>
        <w:rPr>
          <w:rFonts w:ascii="Calibri" w:hAnsi="Calibri"/>
        </w:rPr>
        <w:t>26.4 Hyperlink tests</w:t>
      </w:r>
    </w:p>
    <w:p>
      <w:pPr>
        <w:pStyle w:val="ListBullet"/>
      </w:pPr>
      <w:r>
        <w:rPr>
          <w:rFonts w:ascii="Calibri" w:hAnsi="Calibri"/>
        </w:rPr>
        <w:t>Every displayed source name is a Word-native hyperlink.</w:t>
      </w:r>
    </w:p>
    <w:p>
      <w:pPr>
        <w:pStyle w:val="ListBullet"/>
      </w:pPr>
      <w:r>
        <w:rPr>
          <w:rFonts w:ascii="Calibri" w:hAnsi="Calibri"/>
        </w:rPr>
        <w:t>Every hyperlink resolves to a direct article page.</w:t>
      </w:r>
    </w:p>
    <w:p>
      <w:pPr>
        <w:pStyle w:val="ListBullet"/>
      </w:pPr>
      <w:r>
        <w:rPr>
          <w:rFonts w:ascii="Calibri" w:hAnsi="Calibri"/>
        </w:rPr>
        <w:t>No Google News redirect, search page, homepage, tag page or category page remains.</w:t>
      </w:r>
    </w:p>
    <w:p>
      <w:pPr>
        <w:pStyle w:val="ListBullet"/>
      </w:pPr>
      <w:r>
        <w:rPr>
          <w:rFonts w:ascii="Calibri" w:hAnsi="Calibri"/>
        </w:rPr>
        <w:t>Each source in an allowed multi-source non-UN item has its own hyperlink.</w:t>
      </w:r>
    </w:p>
    <w:p>
      <w:pPr>
        <w:pStyle w:val="ListBullet"/>
      </w:pPr>
      <w:r>
        <w:rPr>
          <w:rFonts w:ascii="Calibri" w:hAnsi="Calibri"/>
        </w:rPr>
        <w:t>Each UN bullet has the correct article-level source hyperlink.</w:t>
      </w:r>
    </w:p>
    <w:p>
      <w:pPr>
        <w:pStyle w:val="ListBullet"/>
      </w:pPr>
      <w:r>
        <w:rPr>
          <w:rFonts w:ascii="Calibri" w:hAnsi="Calibri"/>
        </w:rPr>
        <w:t>Hyperlink text contains only the source name.</w:t>
      </w:r>
    </w:p>
    <w:p>
      <w:pPr>
        <w:pStyle w:val="ListBullet"/>
      </w:pPr>
      <w:r>
        <w:rPr>
          <w:rFonts w:ascii="Calibri" w:hAnsi="Calibri"/>
        </w:rPr>
        <w:t>Hyperlink colour is #467886 and the source name is single-underlined.</w:t>
      </w:r>
    </w:p>
    <w:p>
      <w:pPr>
        <w:pStyle w:val="ListBullet"/>
      </w:pPr>
      <w:r>
        <w:rPr>
          <w:rFonts w:ascii="Calibri" w:hAnsi="Calibri"/>
        </w:rPr>
        <w:t>The “(Arabic)” marker is outside the hyperlink and remains black.</w:t>
      </w:r>
    </w:p>
    <w:p>
      <w:pPr>
        <w:pStyle w:val="ListBullet"/>
      </w:pPr>
      <w:r>
        <w:rPr>
          <w:rFonts w:ascii="Calibri" w:hAnsi="Calibri"/>
        </w:rPr>
        <w:t>No raw URLs are visible in the body.</w:t>
      </w:r>
    </w:p>
    <w:p>
      <w:pPr>
        <w:pStyle w:val="Heading2"/>
        <w:keepNext/>
      </w:pPr>
      <w:r>
        <w:rPr>
          <w:rFonts w:ascii="Calibri" w:hAnsi="Calibri"/>
        </w:rPr>
        <w:t>26.5 Word-formatting tests</w:t>
      </w:r>
    </w:p>
    <w:p>
      <w:pPr>
        <w:pStyle w:val="ListBullet"/>
      </w:pPr>
      <w:r>
        <w:rPr>
          <w:rFonts w:ascii="Calibri" w:hAnsi="Calibri"/>
        </w:rPr>
        <w:t>Page size is Letter and all margins are one inch.</w:t>
      </w:r>
    </w:p>
    <w:p>
      <w:pPr>
        <w:pStyle w:val="ListBullet"/>
      </w:pPr>
      <w:r>
        <w:rPr>
          <w:rFonts w:ascii="Calibri" w:hAnsi="Calibri"/>
        </w:rPr>
        <w:t>Title text, alignment and typography match the current benchmark.</w:t>
      </w:r>
    </w:p>
    <w:p>
      <w:pPr>
        <w:pStyle w:val="ListBullet"/>
      </w:pPr>
      <w:r>
        <w:rPr>
          <w:rFonts w:ascii="Calibri" w:hAnsi="Calibri"/>
        </w:rPr>
        <w:t>Main section headings use Impact 14 pt and appear without numbering.</w:t>
      </w:r>
    </w:p>
    <w:p>
      <w:pPr>
        <w:pStyle w:val="ListBullet"/>
      </w:pPr>
      <w:r>
        <w:rPr>
          <w:rFonts w:ascii="Calibri" w:hAnsi="Calibri"/>
        </w:rPr>
        <w:t>Subsections and body use Calibri 12 pt according to the benchmark.</w:t>
      </w:r>
    </w:p>
    <w:p>
      <w:pPr>
        <w:pStyle w:val="ListBullet"/>
      </w:pPr>
      <w:r>
        <w:rPr>
          <w:rFonts w:ascii="Calibri" w:hAnsi="Calibri"/>
        </w:rPr>
        <w:t>Current bullet indentation and paragraph spacing match 20260621.</w:t>
      </w:r>
    </w:p>
    <w:p>
      <w:pPr>
        <w:pStyle w:val="ListBullet"/>
      </w:pPr>
      <w:r>
        <w:rPr>
          <w:rFonts w:ascii="Calibri" w:hAnsi="Calibri"/>
        </w:rPr>
        <w:t>No accidental numbered list, table or generated subtitle appears in the report.</w:t>
      </w:r>
    </w:p>
    <w:p>
      <w:pPr>
        <w:pStyle w:val="ListBullet"/>
      </w:pPr>
      <w:r>
        <w:rPr>
          <w:rFonts w:ascii="Calibri" w:hAnsi="Calibri"/>
        </w:rPr>
        <w:t>No default bright-blue hyperlink styling remains.</w:t>
      </w:r>
    </w:p>
    <w:p>
      <w:pPr>
        <w:pStyle w:val="ListBullet"/>
      </w:pPr>
      <w:r>
        <w:rPr>
          <w:rFonts w:ascii="Calibri" w:hAnsi="Calibri"/>
        </w:rPr>
        <w:t>The exact disclaimer appears after the horizontal separator.</w:t>
      </w:r>
    </w:p>
    <w:p>
      <w:pPr>
        <w:pStyle w:val="Heading2"/>
        <w:keepNext/>
      </w:pPr>
      <w:r>
        <w:rPr>
          <w:rFonts w:ascii="Calibri" w:hAnsi="Calibri"/>
        </w:rPr>
        <w:t>26.6 Render and visual-QA tests</w:t>
      </w:r>
    </w:p>
    <w:p>
      <w:pPr>
        <w:pStyle w:val="ListBullet"/>
      </w:pPr>
      <w:r>
        <w:rPr>
          <w:rFonts w:ascii="Calibri" w:hAnsi="Calibri"/>
        </w:rPr>
        <w:t>Render the completed DOCX to PNG pages using the approved rendering tool.</w:t>
      </w:r>
    </w:p>
    <w:p>
      <w:pPr>
        <w:pStyle w:val="ListBullet"/>
      </w:pPr>
      <w:r>
        <w:rPr>
          <w:rFonts w:ascii="Calibri" w:hAnsi="Calibri"/>
        </w:rPr>
        <w:t>Confirm the expected page count and inspect every page at 100% zoom.</w:t>
      </w:r>
    </w:p>
    <w:p>
      <w:pPr>
        <w:pStyle w:val="ListBullet"/>
      </w:pPr>
      <w:r>
        <w:rPr>
          <w:rFonts w:ascii="Calibri" w:hAnsi="Calibri"/>
        </w:rPr>
        <w:t>Check for clipping, overlap, missing glyphs, broken bullets, excessive blank space, orphan headings, bad page breaks and hyperlink colour drift.</w:t>
      </w:r>
    </w:p>
    <w:p>
      <w:pPr>
        <w:pStyle w:val="ListBullet"/>
      </w:pPr>
      <w:r>
        <w:rPr>
          <w:rFonts w:ascii="Calibri" w:hAnsi="Calibri"/>
        </w:rPr>
        <w:t>Correct all defects and re-render after every layout-sensitive change.</w:t>
      </w:r>
    </w:p>
    <w:p>
      <w:pPr>
        <w:pStyle w:val="ListBullet"/>
      </w:pPr>
      <w:r>
        <w:rPr>
          <w:rFonts w:ascii="Calibri" w:hAnsi="Calibri"/>
        </w:rPr>
        <w:t>Retain the final rendering log or QA note in the working files.</w:t>
      </w:r>
    </w:p>
    <w:p>
      <w:pPr>
        <w:pStyle w:val="Heading1"/>
        <w:keepNext/>
      </w:pPr>
      <w:r>
        <w:rPr>
          <w:rFonts w:ascii="Calibri" w:hAnsi="Calibri"/>
        </w:rPr>
        <w:t>27. Hard failure conditions</w:t>
      </w:r>
    </w:p>
    <w:tbl>
      <w:tblPr>
        <w:tblStyle w:val="TableGrid"/>
        <w:tblW w:type="auto" w:w="0"/>
        <w:jc w:val="center"/>
        <w:tblLook w:firstColumn="1" w:firstRow="1" w:lastColumn="0" w:lastRow="0" w:noHBand="0" w:noVBand="1" w:val="04A0"/>
      </w:tblPr>
      <w:tblGrid>
        <w:gridCol w:w="9994"/>
      </w:tblGrid>
      <w:tr>
        <w:tc>
          <w:tcPr>
            <w:tcW w:type="dxa" w:w="9994"/>
            <w:shd w:fill="FCE8E6"/>
            <w:tcMar>
              <w:top w:w="120" w:type="dxa"/>
              <w:start w:w="140" w:type="dxa"/>
              <w:bottom w:w="120" w:type="dxa"/>
              <w:end w:w="140" w:type="dxa"/>
            </w:tcMar>
          </w:tcPr>
          <w:p>
            <w:pPr>
              <w:spacing w:after="80"/>
            </w:pPr>
            <w:r>
              <w:rPr>
                <w:b/>
                <w:sz w:val="22"/>
              </w:rPr>
              <w:t>DO NOT DELIVER</w:t>
            </w:r>
          </w:p>
          <w:p>
            <w:pPr>
              <w:spacing w:after="0"/>
            </w:pPr>
            <w:r>
              <w:t>Codex must stop and repair the workflow when any condition below is true. A partial success statement is not an acceptable substitute.</w:t>
            </w:r>
          </w:p>
        </w:tc>
      </w:tr>
    </w:tbl>
    <w:p>
      <w:pPr>
        <w:pStyle w:val="ListBullet"/>
      </w:pPr>
      <w:r>
        <w:rPr>
          <w:rFonts w:ascii="Calibri" w:hAnsi="Calibri"/>
        </w:rPr>
        <w:t>Any input record has no final decision.</w:t>
      </w:r>
    </w:p>
    <w:p>
      <w:pPr>
        <w:pStyle w:val="ListBullet"/>
      </w:pPr>
      <w:r>
        <w:rPr>
          <w:rFonts w:ascii="Calibri" w:hAnsi="Calibri"/>
        </w:rPr>
        <w:t>Any record remains UNRESOLVED.</w:t>
      </w:r>
    </w:p>
    <w:p>
      <w:pPr>
        <w:pStyle w:val="ListBullet"/>
      </w:pPr>
      <w:r>
        <w:rPr>
          <w:rFonts w:ascii="Calibri" w:hAnsi="Calibri"/>
        </w:rPr>
        <w:t>The reconciliation equation does not balance.</w:t>
      </w:r>
    </w:p>
    <w:p>
      <w:pPr>
        <w:pStyle w:val="ListBullet"/>
      </w:pPr>
      <w:r>
        <w:rPr>
          <w:rFonts w:ascii="Calibri" w:hAnsi="Calibri"/>
        </w:rPr>
        <w:t>A protected UN article is missing from the final report.</w:t>
      </w:r>
    </w:p>
    <w:p>
      <w:pPr>
        <w:pStyle w:val="ListBullet"/>
      </w:pPr>
      <w:r>
        <w:rPr>
          <w:rFonts w:ascii="Calibri" w:hAnsi="Calibri"/>
        </w:rPr>
        <w:t>A protected UN item was merged under ordinary duplicate logic.</w:t>
      </w:r>
    </w:p>
    <w:p>
      <w:pPr>
        <w:pStyle w:val="ListBullet"/>
      </w:pPr>
      <w:r>
        <w:rPr>
          <w:rFonts w:ascii="Calibri" w:hAnsi="Calibri"/>
        </w:rPr>
        <w:t>An included source points to a redirect, homepage, category page, search page or mismatched article.</w:t>
      </w:r>
    </w:p>
    <w:p>
      <w:pPr>
        <w:pStyle w:val="ListBullet"/>
      </w:pPr>
      <w:r>
        <w:rPr>
          <w:rFonts w:ascii="Calibri" w:hAnsi="Calibri"/>
        </w:rPr>
        <w:t>The final report contains a headline that cannot be supported by the linked article.</w:t>
      </w:r>
    </w:p>
    <w:p>
      <w:pPr>
        <w:pStyle w:val="ListBullet"/>
      </w:pPr>
      <w:r>
        <w:rPr>
          <w:rFonts w:ascii="Calibri" w:hAnsi="Calibri"/>
        </w:rPr>
        <w:t>An article’s date cannot be verified and no documented exclusion decision exists.</w:t>
      </w:r>
    </w:p>
    <w:p>
      <w:pPr>
        <w:pStyle w:val="ListBullet"/>
      </w:pPr>
      <w:r>
        <w:rPr>
          <w:rFonts w:ascii="Calibri" w:hAnsi="Calibri"/>
        </w:rPr>
        <w:t>The final report and verification matrix do not map to each other completely.</w:t>
      </w:r>
    </w:p>
    <w:p>
      <w:pPr>
        <w:pStyle w:val="ListBullet"/>
      </w:pPr>
      <w:r>
        <w:rPr>
          <w:rFonts w:ascii="Calibri" w:hAnsi="Calibri"/>
        </w:rPr>
        <w:t>The exact disclaimer is missing or altered.</w:t>
      </w:r>
    </w:p>
    <w:p>
      <w:pPr>
        <w:pStyle w:val="ListBullet"/>
      </w:pPr>
      <w:r>
        <w:rPr>
          <w:rFonts w:ascii="Calibri" w:hAnsi="Calibri"/>
        </w:rPr>
        <w:t>The DOCX validator reports formatting or hyperlink failures.</w:t>
      </w:r>
    </w:p>
    <w:p>
      <w:pPr>
        <w:pStyle w:val="ListBullet"/>
      </w:pPr>
      <w:r>
        <w:rPr>
          <w:rFonts w:ascii="Calibri" w:hAnsi="Calibri"/>
        </w:rPr>
        <w:t>The document cannot be rendered.</w:t>
      </w:r>
    </w:p>
    <w:p>
      <w:pPr>
        <w:pStyle w:val="ListBullet"/>
      </w:pPr>
      <w:r>
        <w:rPr>
          <w:rFonts w:ascii="Calibri" w:hAnsi="Calibri"/>
        </w:rPr>
        <w:t>Any rendered page contains clipping, overlap, broken formatting or unreadable text.</w:t>
      </w:r>
    </w:p>
    <w:p>
      <w:pPr>
        <w:pStyle w:val="ListBullet"/>
      </w:pPr>
      <w:r>
        <w:rPr>
          <w:rFonts w:ascii="Calibri" w:hAnsi="Calibri"/>
        </w:rPr>
        <w:t>The final completion report does not include the mandatory counts and test results.</w:t>
      </w:r>
    </w:p>
    <w:p>
      <w:pPr>
        <w:pStyle w:val="Heading1"/>
        <w:keepNext/>
      </w:pPr>
      <w:r>
        <w:rPr>
          <w:rFonts w:ascii="Calibri" w:hAnsi="Calibri"/>
        </w:rPr>
        <w:t>28. Required Codex completion report</w:t>
      </w:r>
    </w:p>
    <w:p>
      <w:r>
        <w:rPr>
          <w:rFonts w:ascii="Calibri" w:hAnsi="Calibri"/>
        </w:rPr>
        <w:t>Codex must not respond only with “completed”. Its final response must contain calculated evidence that the workflow passed.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D9E6EA"/>
            <w:vAlign w:val="center"/>
            <w:tcMar>
              <w:top w:w="90" w:type="dxa"/>
              <w:start w:w="110" w:type="dxa"/>
              <w:bottom w:w="90" w:type="dxa"/>
              <w:end w:w="110" w:type="dxa"/>
            </w:tcMar>
          </w:tcPr>
          <w:p>
            <w:pPr>
              <w:jc w:val="center"/>
            </w:pPr>
            <w:r>
              <w:rPr>
                <w:b/>
                <w:sz w:val="16"/>
              </w:rPr>
              <w:t>Metric</w:t>
            </w:r>
          </w:p>
        </w:tc>
        <w:tc>
          <w:tcPr>
            <w:tcW w:type="dxa" w:w="6840"/>
            <w:shd w:fill="D9E6EA"/>
            <w:vAlign w:val="center"/>
            <w:tcMar>
              <w:top w:w="90" w:type="dxa"/>
              <w:start w:w="110" w:type="dxa"/>
              <w:bottom w:w="90" w:type="dxa"/>
              <w:end w:w="110" w:type="dxa"/>
            </w:tcMar>
          </w:tcPr>
          <w:p>
            <w:pPr>
              <w:jc w:val="center"/>
            </w:pPr>
            <w:r>
              <w:rPr>
                <w:b/>
                <w:sz w:val="16"/>
              </w:rPr>
              <w:t>Required reporting</w:t>
            </w:r>
          </w:p>
        </w:tc>
      </w:tr>
      <w:tr>
        <w:tc>
          <w:tcPr>
            <w:tcW w:type="dxa" w:w="2520"/>
            <w:vAlign w:val="top"/>
            <w:tcMar>
              <w:top w:w="90" w:type="dxa"/>
              <w:start w:w="110" w:type="dxa"/>
              <w:bottom w:w="90" w:type="dxa"/>
              <w:end w:w="110" w:type="dxa"/>
            </w:tcMar>
          </w:tcPr>
          <w:p>
            <w:pPr>
              <w:spacing w:after="0"/>
            </w:pPr>
            <w:r>
              <w:rPr>
                <w:sz w:val="16"/>
              </w:rPr>
              <w:t>Input records</w:t>
            </w:r>
          </w:p>
        </w:tc>
        <w:tc>
          <w:tcPr>
            <w:tcW w:type="dxa" w:w="6840"/>
            <w:vAlign w:val="top"/>
            <w:tcMar>
              <w:top w:w="90" w:type="dxa"/>
              <w:start w:w="110" w:type="dxa"/>
              <w:bottom w:w="90" w:type="dxa"/>
              <w:end w:w="110" w:type="dxa"/>
            </w:tcMar>
          </w:tcPr>
          <w:p>
            <w:pPr>
              <w:spacing w:after="0"/>
            </w:pPr>
            <w:r>
              <w:rPr>
                <w:sz w:val="16"/>
              </w:rPr>
              <w:t>Total number of source-level records ingested.</w:t>
            </w:r>
          </w:p>
        </w:tc>
      </w:tr>
      <w:tr>
        <w:tc>
          <w:tcPr>
            <w:tcW w:type="dxa" w:w="2520"/>
            <w:vAlign w:val="top"/>
            <w:tcMar>
              <w:top w:w="90" w:type="dxa"/>
              <w:start w:w="110" w:type="dxa"/>
              <w:bottom w:w="90" w:type="dxa"/>
              <w:end w:w="110" w:type="dxa"/>
            </w:tcMar>
          </w:tcPr>
          <w:p>
            <w:pPr>
              <w:spacing w:after="0"/>
            </w:pPr>
            <w:r>
              <w:rPr>
                <w:sz w:val="16"/>
              </w:rPr>
              <w:t>Included records</w:t>
            </w:r>
          </w:p>
        </w:tc>
        <w:tc>
          <w:tcPr>
            <w:tcW w:type="dxa" w:w="6840"/>
            <w:vAlign w:val="top"/>
            <w:tcMar>
              <w:top w:w="90" w:type="dxa"/>
              <w:start w:w="110" w:type="dxa"/>
              <w:bottom w:w="90" w:type="dxa"/>
              <w:end w:w="110" w:type="dxa"/>
            </w:tcMar>
          </w:tcPr>
          <w:p>
            <w:pPr>
              <w:spacing w:after="0"/>
            </w:pPr>
            <w:r>
              <w:rPr>
                <w:sz w:val="16"/>
              </w:rPr>
              <w:t>Number represented directly in the final report.</w:t>
            </w:r>
          </w:p>
        </w:tc>
      </w:tr>
      <w:tr>
        <w:tc>
          <w:tcPr>
            <w:tcW w:type="dxa" w:w="2520"/>
            <w:vAlign w:val="top"/>
            <w:tcMar>
              <w:top w:w="90" w:type="dxa"/>
              <w:start w:w="110" w:type="dxa"/>
              <w:bottom w:w="90" w:type="dxa"/>
              <w:end w:w="110" w:type="dxa"/>
            </w:tcMar>
          </w:tcPr>
          <w:p>
            <w:pPr>
              <w:spacing w:after="0"/>
            </w:pPr>
            <w:r>
              <w:rPr>
                <w:sz w:val="16"/>
              </w:rPr>
              <w:t>Excluded records</w:t>
            </w:r>
          </w:p>
        </w:tc>
        <w:tc>
          <w:tcPr>
            <w:tcW w:type="dxa" w:w="6840"/>
            <w:vAlign w:val="top"/>
            <w:tcMar>
              <w:top w:w="90" w:type="dxa"/>
              <w:start w:w="110" w:type="dxa"/>
              <w:bottom w:w="90" w:type="dxa"/>
              <w:end w:w="110" w:type="dxa"/>
            </w:tcMar>
          </w:tcPr>
          <w:p>
            <w:pPr>
              <w:spacing w:after="0"/>
            </w:pPr>
            <w:r>
              <w:rPr>
                <w:sz w:val="16"/>
              </w:rPr>
              <w:t>Number omitted with documented reasons.</w:t>
            </w:r>
          </w:p>
        </w:tc>
      </w:tr>
      <w:tr>
        <w:tc>
          <w:tcPr>
            <w:tcW w:type="dxa" w:w="2520"/>
            <w:vAlign w:val="top"/>
            <w:tcMar>
              <w:top w:w="90" w:type="dxa"/>
              <w:start w:w="110" w:type="dxa"/>
              <w:bottom w:w="90" w:type="dxa"/>
              <w:end w:w="110" w:type="dxa"/>
            </w:tcMar>
          </w:tcPr>
          <w:p>
            <w:pPr>
              <w:spacing w:after="0"/>
            </w:pPr>
            <w:r>
              <w:rPr>
                <w:sz w:val="16"/>
              </w:rPr>
              <w:t>Merged records</w:t>
            </w:r>
          </w:p>
        </w:tc>
        <w:tc>
          <w:tcPr>
            <w:tcW w:type="dxa" w:w="6840"/>
            <w:vAlign w:val="top"/>
            <w:tcMar>
              <w:top w:w="90" w:type="dxa"/>
              <w:start w:w="110" w:type="dxa"/>
              <w:bottom w:w="90" w:type="dxa"/>
              <w:end w:w="110" w:type="dxa"/>
            </w:tcMar>
          </w:tcPr>
          <w:p>
            <w:pPr>
              <w:spacing w:after="0"/>
            </w:pPr>
            <w:r>
              <w:rPr>
                <w:sz w:val="16"/>
              </w:rPr>
              <w:t>Number represented through eligible non-UN consolidation.</w:t>
            </w:r>
          </w:p>
        </w:tc>
      </w:tr>
      <w:tr>
        <w:tc>
          <w:tcPr>
            <w:tcW w:type="dxa" w:w="2520"/>
            <w:vAlign w:val="top"/>
            <w:tcMar>
              <w:top w:w="90" w:type="dxa"/>
              <w:start w:w="110" w:type="dxa"/>
              <w:bottom w:w="90" w:type="dxa"/>
              <w:end w:w="110" w:type="dxa"/>
            </w:tcMar>
          </w:tcPr>
          <w:p>
            <w:pPr>
              <w:spacing w:after="0"/>
            </w:pPr>
            <w:r>
              <w:rPr>
                <w:sz w:val="16"/>
              </w:rPr>
              <w:t>Unresolved records</w:t>
            </w:r>
          </w:p>
        </w:tc>
        <w:tc>
          <w:tcPr>
            <w:tcW w:type="dxa" w:w="6840"/>
            <w:vAlign w:val="top"/>
            <w:tcMar>
              <w:top w:w="90" w:type="dxa"/>
              <w:start w:w="110" w:type="dxa"/>
              <w:bottom w:w="90" w:type="dxa"/>
              <w:end w:w="110" w:type="dxa"/>
            </w:tcMar>
          </w:tcPr>
          <w:p>
            <w:pPr>
              <w:spacing w:after="0"/>
            </w:pPr>
            <w:r>
              <w:rPr>
                <w:sz w:val="16"/>
              </w:rPr>
              <w:t>Must be 0.</w:t>
            </w:r>
          </w:p>
        </w:tc>
      </w:tr>
      <w:tr>
        <w:tc>
          <w:tcPr>
            <w:tcW w:type="dxa" w:w="2520"/>
            <w:vAlign w:val="top"/>
            <w:tcMar>
              <w:top w:w="90" w:type="dxa"/>
              <w:start w:w="110" w:type="dxa"/>
              <w:bottom w:w="90" w:type="dxa"/>
              <w:end w:w="110" w:type="dxa"/>
            </w:tcMar>
          </w:tcPr>
          <w:p>
            <w:pPr>
              <w:spacing w:after="0"/>
            </w:pPr>
            <w:r>
              <w:rPr>
                <w:sz w:val="16"/>
              </w:rPr>
              <w:t>Verified UN records</w:t>
            </w:r>
          </w:p>
        </w:tc>
        <w:tc>
          <w:tcPr>
            <w:tcW w:type="dxa" w:w="6840"/>
            <w:vAlign w:val="top"/>
            <w:tcMar>
              <w:top w:w="90" w:type="dxa"/>
              <w:start w:w="110" w:type="dxa"/>
              <w:bottom w:w="90" w:type="dxa"/>
              <w:end w:w="110" w:type="dxa"/>
            </w:tcMar>
          </w:tcPr>
          <w:p>
            <w:pPr>
              <w:spacing w:after="0"/>
            </w:pPr>
            <w:r>
              <w:rPr>
                <w:sz w:val="16"/>
              </w:rPr>
              <w:t>Total protected UN article records.</w:t>
            </w:r>
          </w:p>
        </w:tc>
      </w:tr>
      <w:tr>
        <w:tc>
          <w:tcPr>
            <w:tcW w:type="dxa" w:w="2520"/>
            <w:vAlign w:val="top"/>
            <w:tcMar>
              <w:top w:w="90" w:type="dxa"/>
              <w:start w:w="110" w:type="dxa"/>
              <w:bottom w:w="90" w:type="dxa"/>
              <w:end w:w="110" w:type="dxa"/>
            </w:tcMar>
          </w:tcPr>
          <w:p>
            <w:pPr>
              <w:spacing w:after="0"/>
            </w:pPr>
            <w:r>
              <w:rPr>
                <w:sz w:val="16"/>
              </w:rPr>
              <w:t>Final UN bullets</w:t>
            </w:r>
          </w:p>
        </w:tc>
        <w:tc>
          <w:tcPr>
            <w:tcW w:type="dxa" w:w="6840"/>
            <w:vAlign w:val="top"/>
            <w:tcMar>
              <w:top w:w="90" w:type="dxa"/>
              <w:start w:w="110" w:type="dxa"/>
              <w:bottom w:w="90" w:type="dxa"/>
              <w:end w:w="110" w:type="dxa"/>
            </w:tcMar>
          </w:tcPr>
          <w:p>
            <w:pPr>
              <w:spacing w:after="0"/>
            </w:pPr>
            <w:r>
              <w:rPr>
                <w:sz w:val="16"/>
              </w:rPr>
              <w:t>Count of distinct protected UN bullets.</w:t>
            </w:r>
          </w:p>
        </w:tc>
      </w:tr>
      <w:tr>
        <w:tc>
          <w:tcPr>
            <w:tcW w:type="dxa" w:w="2520"/>
            <w:vAlign w:val="top"/>
            <w:tcMar>
              <w:top w:w="90" w:type="dxa"/>
              <w:start w:w="110" w:type="dxa"/>
              <w:bottom w:w="90" w:type="dxa"/>
              <w:end w:w="110" w:type="dxa"/>
            </w:tcMar>
          </w:tcPr>
          <w:p>
            <w:pPr>
              <w:spacing w:after="0"/>
            </w:pPr>
            <w:r>
              <w:rPr>
                <w:sz w:val="16"/>
              </w:rPr>
              <w:t>Documented UN exceptions</w:t>
            </w:r>
          </w:p>
        </w:tc>
        <w:tc>
          <w:tcPr>
            <w:tcW w:type="dxa" w:w="6840"/>
            <w:vAlign w:val="top"/>
            <w:tcMar>
              <w:top w:w="90" w:type="dxa"/>
              <w:start w:w="110" w:type="dxa"/>
              <w:bottom w:w="90" w:type="dxa"/>
              <w:end w:w="110" w:type="dxa"/>
            </w:tcMar>
          </w:tcPr>
          <w:p>
            <w:pPr>
              <w:spacing w:after="0"/>
            </w:pPr>
            <w:r>
              <w:rPr>
                <w:sz w:val="16"/>
              </w:rPr>
              <w:t>Exact repeated URLs/mirrors, normally 0.</w:t>
            </w:r>
          </w:p>
        </w:tc>
      </w:tr>
      <w:tr>
        <w:tc>
          <w:tcPr>
            <w:tcW w:type="dxa" w:w="2520"/>
            <w:vAlign w:val="top"/>
            <w:tcMar>
              <w:top w:w="90" w:type="dxa"/>
              <w:start w:w="110" w:type="dxa"/>
              <w:bottom w:w="90" w:type="dxa"/>
              <w:end w:w="110" w:type="dxa"/>
            </w:tcMar>
          </w:tcPr>
          <w:p>
            <w:pPr>
              <w:spacing w:after="0"/>
            </w:pPr>
            <w:r>
              <w:rPr>
                <w:sz w:val="16"/>
              </w:rPr>
              <w:t>Final report entries</w:t>
            </w:r>
          </w:p>
        </w:tc>
        <w:tc>
          <w:tcPr>
            <w:tcW w:type="dxa" w:w="6840"/>
            <w:vAlign w:val="top"/>
            <w:tcMar>
              <w:top w:w="90" w:type="dxa"/>
              <w:start w:w="110" w:type="dxa"/>
              <w:bottom w:w="90" w:type="dxa"/>
              <w:end w:w="110" w:type="dxa"/>
            </w:tcMar>
          </w:tcPr>
          <w:p>
            <w:pPr>
              <w:spacing w:after="0"/>
            </w:pPr>
            <w:r>
              <w:rPr>
                <w:sz w:val="16"/>
              </w:rPr>
              <w:t>Total bullets/Varieties entries.</w:t>
            </w:r>
          </w:p>
        </w:tc>
      </w:tr>
      <w:tr>
        <w:tc>
          <w:tcPr>
            <w:tcW w:type="dxa" w:w="2520"/>
            <w:vAlign w:val="top"/>
            <w:tcMar>
              <w:top w:w="90" w:type="dxa"/>
              <w:start w:w="110" w:type="dxa"/>
              <w:bottom w:w="90" w:type="dxa"/>
              <w:end w:w="110" w:type="dxa"/>
            </w:tcMar>
          </w:tcPr>
          <w:p>
            <w:pPr>
              <w:spacing w:after="0"/>
            </w:pPr>
            <w:r>
              <w:rPr>
                <w:sz w:val="16"/>
              </w:rPr>
              <w:t>Direct hyperlinks</w:t>
            </w:r>
          </w:p>
        </w:tc>
        <w:tc>
          <w:tcPr>
            <w:tcW w:type="dxa" w:w="6840"/>
            <w:vAlign w:val="top"/>
            <w:tcMar>
              <w:top w:w="90" w:type="dxa"/>
              <w:start w:w="110" w:type="dxa"/>
              <w:bottom w:w="90" w:type="dxa"/>
              <w:end w:w="110" w:type="dxa"/>
            </w:tcMar>
          </w:tcPr>
          <w:p>
            <w:pPr>
              <w:spacing w:after="0"/>
            </w:pPr>
            <w:r>
              <w:rPr>
                <w:sz w:val="16"/>
              </w:rPr>
              <w:t>Total Word hyperlinks in the final DOCX.</w:t>
            </w:r>
          </w:p>
        </w:tc>
      </w:tr>
      <w:tr>
        <w:tc>
          <w:tcPr>
            <w:tcW w:type="dxa" w:w="2520"/>
            <w:vAlign w:val="top"/>
            <w:tcMar>
              <w:top w:w="90" w:type="dxa"/>
              <w:start w:w="110" w:type="dxa"/>
              <w:bottom w:w="90" w:type="dxa"/>
              <w:end w:w="110" w:type="dxa"/>
            </w:tcMar>
          </w:tcPr>
          <w:p>
            <w:pPr>
              <w:spacing w:after="0"/>
            </w:pPr>
            <w:r>
              <w:rPr>
                <w:sz w:val="16"/>
              </w:rPr>
              <w:t>Google News redirects</w:t>
            </w:r>
          </w:p>
        </w:tc>
        <w:tc>
          <w:tcPr>
            <w:tcW w:type="dxa" w:w="6840"/>
            <w:vAlign w:val="top"/>
            <w:tcMar>
              <w:top w:w="90" w:type="dxa"/>
              <w:start w:w="110" w:type="dxa"/>
              <w:bottom w:w="90" w:type="dxa"/>
              <w:end w:w="110" w:type="dxa"/>
            </w:tcMar>
          </w:tcPr>
          <w:p>
            <w:pPr>
              <w:spacing w:after="0"/>
            </w:pPr>
            <w:r>
              <w:rPr>
                <w:sz w:val="16"/>
              </w:rPr>
              <w:t>Must be 0.</w:t>
            </w:r>
          </w:p>
        </w:tc>
      </w:tr>
      <w:tr>
        <w:tc>
          <w:tcPr>
            <w:tcW w:type="dxa" w:w="2520"/>
            <w:vAlign w:val="top"/>
            <w:tcMar>
              <w:top w:w="90" w:type="dxa"/>
              <w:start w:w="110" w:type="dxa"/>
              <w:bottom w:w="90" w:type="dxa"/>
              <w:end w:w="110" w:type="dxa"/>
            </w:tcMar>
          </w:tcPr>
          <w:p>
            <w:pPr>
              <w:spacing w:after="0"/>
            </w:pPr>
            <w:r>
              <w:rPr>
                <w:sz w:val="16"/>
              </w:rPr>
              <w:t>Validation tests</w:t>
            </w:r>
          </w:p>
        </w:tc>
        <w:tc>
          <w:tcPr>
            <w:tcW w:type="dxa" w:w="6840"/>
            <w:vAlign w:val="top"/>
            <w:tcMar>
              <w:top w:w="90" w:type="dxa"/>
              <w:start w:w="110" w:type="dxa"/>
              <w:bottom w:w="90" w:type="dxa"/>
              <w:end w:w="110" w:type="dxa"/>
            </w:tcMar>
          </w:tcPr>
          <w:p>
            <w:pPr>
              <w:spacing w:after="0"/>
            </w:pPr>
            <w:r>
              <w:rPr>
                <w:sz w:val="16"/>
              </w:rPr>
              <w:t>Pass/fail result by test group.</w:t>
            </w:r>
          </w:p>
        </w:tc>
      </w:tr>
      <w:tr>
        <w:tc>
          <w:tcPr>
            <w:tcW w:type="dxa" w:w="2520"/>
            <w:vAlign w:val="top"/>
            <w:tcMar>
              <w:top w:w="90" w:type="dxa"/>
              <w:start w:w="110" w:type="dxa"/>
              <w:bottom w:w="90" w:type="dxa"/>
              <w:end w:w="110" w:type="dxa"/>
            </w:tcMar>
          </w:tcPr>
          <w:p>
            <w:pPr>
              <w:spacing w:after="0"/>
            </w:pPr>
            <w:r>
              <w:rPr>
                <w:sz w:val="16"/>
              </w:rPr>
              <w:t>Rendered pages</w:t>
            </w:r>
          </w:p>
        </w:tc>
        <w:tc>
          <w:tcPr>
            <w:tcW w:type="dxa" w:w="6840"/>
            <w:vAlign w:val="top"/>
            <w:tcMar>
              <w:top w:w="90" w:type="dxa"/>
              <w:start w:w="110" w:type="dxa"/>
              <w:bottom w:w="90" w:type="dxa"/>
              <w:end w:w="110" w:type="dxa"/>
            </w:tcMar>
          </w:tcPr>
          <w:p>
            <w:pPr>
              <w:spacing w:after="0"/>
            </w:pPr>
            <w:r>
              <w:rPr>
                <w:sz w:val="16"/>
              </w:rPr>
              <w:t>Final page count.</w:t>
            </w:r>
          </w:p>
        </w:tc>
      </w:tr>
      <w:tr>
        <w:tc>
          <w:tcPr>
            <w:tcW w:type="dxa" w:w="2520"/>
            <w:vAlign w:val="top"/>
            <w:tcMar>
              <w:top w:w="90" w:type="dxa"/>
              <w:start w:w="110" w:type="dxa"/>
              <w:bottom w:w="90" w:type="dxa"/>
              <w:end w:w="110" w:type="dxa"/>
            </w:tcMar>
          </w:tcPr>
          <w:p>
            <w:pPr>
              <w:spacing w:after="0"/>
            </w:pPr>
            <w:r>
              <w:rPr>
                <w:sz w:val="16"/>
              </w:rPr>
              <w:t>Visual QA</w:t>
            </w:r>
          </w:p>
        </w:tc>
        <w:tc>
          <w:tcPr>
            <w:tcW w:type="dxa" w:w="6840"/>
            <w:vAlign w:val="top"/>
            <w:tcMar>
              <w:top w:w="90" w:type="dxa"/>
              <w:start w:w="110" w:type="dxa"/>
              <w:bottom w:w="90" w:type="dxa"/>
              <w:end w:w="110" w:type="dxa"/>
            </w:tcMar>
          </w:tcPr>
          <w:p>
            <w:pPr>
              <w:spacing w:after="0"/>
            </w:pPr>
            <w:r>
              <w:rPr>
                <w:sz w:val="16"/>
              </w:rPr>
              <w:t>PASS only after all pages are inspected.</w:t>
            </w:r>
          </w:p>
        </w:tc>
      </w:tr>
      <w:tr>
        <w:tc>
          <w:tcPr>
            <w:tcW w:type="dxa" w:w="2520"/>
            <w:vAlign w:val="top"/>
            <w:tcMar>
              <w:top w:w="90" w:type="dxa"/>
              <w:start w:w="110" w:type="dxa"/>
              <w:bottom w:w="90" w:type="dxa"/>
              <w:end w:w="110" w:type="dxa"/>
            </w:tcMar>
          </w:tcPr>
          <w:p>
            <w:pPr>
              <w:spacing w:after="0"/>
            </w:pPr>
            <w:r>
              <w:rPr>
                <w:sz w:val="16"/>
              </w:rPr>
              <w:t>Output files</w:t>
            </w:r>
          </w:p>
        </w:tc>
        <w:tc>
          <w:tcPr>
            <w:tcW w:type="dxa" w:w="6840"/>
            <w:vAlign w:val="top"/>
            <w:tcMar>
              <w:top w:w="90" w:type="dxa"/>
              <w:start w:w="110" w:type="dxa"/>
              <w:bottom w:w="90" w:type="dxa"/>
              <w:end w:w="110" w:type="dxa"/>
            </w:tcMar>
          </w:tcPr>
          <w:p>
            <w:pPr>
              <w:spacing w:after="0"/>
            </w:pPr>
            <w:r>
              <w:rPr>
                <w:sz w:val="16"/>
              </w:rPr>
              <w:t>Exact paths for final DOCX and audit files.</w:t>
            </w:r>
          </w:p>
        </w:tc>
      </w:tr>
    </w:tbl>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8"/>
              </w:rPr>
              <w:t>Example completion evidence — values must be calculated, never copied:</w:t>
            </w:r>
            <w:r>
              <w:br/>
            </w:r>
            <w:r>
              <w:rPr>
                <w:rFonts w:ascii="Consolas" w:hAnsi="Consolas" w:eastAsia="Consolas"/>
                <w:sz w:val="18"/>
              </w:rPr>
            </w:r>
            <w:r>
              <w:br/>
            </w:r>
            <w:r>
              <w:rPr>
                <w:rFonts w:ascii="Consolas" w:hAnsi="Consolas" w:eastAsia="Consolas"/>
                <w:sz w:val="18"/>
              </w:rPr>
              <w:t>Input records: 179</w:t>
            </w:r>
            <w:r>
              <w:br/>
            </w:r>
            <w:r>
              <w:rPr>
                <w:rFonts w:ascii="Consolas" w:hAnsi="Consolas" w:eastAsia="Consolas"/>
                <w:sz w:val="18"/>
              </w:rPr>
              <w:t>Included records: 86</w:t>
            </w:r>
            <w:r>
              <w:br/>
            </w:r>
            <w:r>
              <w:rPr>
                <w:rFonts w:ascii="Consolas" w:hAnsi="Consolas" w:eastAsia="Consolas"/>
                <w:sz w:val="18"/>
              </w:rPr>
              <w:t>Excluded records: 78</w:t>
            </w:r>
            <w:r>
              <w:br/>
            </w:r>
            <w:r>
              <w:rPr>
                <w:rFonts w:ascii="Consolas" w:hAnsi="Consolas" w:eastAsia="Consolas"/>
                <w:sz w:val="18"/>
              </w:rPr>
              <w:t>Merged records: 15</w:t>
            </w:r>
            <w:r>
              <w:br/>
            </w:r>
            <w:r>
              <w:rPr>
                <w:rFonts w:ascii="Consolas" w:hAnsi="Consolas" w:eastAsia="Consolas"/>
                <w:sz w:val="18"/>
              </w:rPr>
              <w:t>Unresolved records: 0</w:t>
            </w:r>
            <w:r>
              <w:br/>
            </w:r>
            <w:r>
              <w:rPr>
                <w:rFonts w:ascii="Consolas" w:hAnsi="Consolas" w:eastAsia="Consolas"/>
                <w:sz w:val="18"/>
              </w:rPr>
              <w:t>Verified UN records: 8</w:t>
            </w:r>
            <w:r>
              <w:br/>
            </w:r>
            <w:r>
              <w:rPr>
                <w:rFonts w:ascii="Consolas" w:hAnsi="Consolas" w:eastAsia="Consolas"/>
                <w:sz w:val="18"/>
              </w:rPr>
              <w:t>Final UN bullets: 8</w:t>
            </w:r>
            <w:r>
              <w:br/>
            </w:r>
            <w:r>
              <w:rPr>
                <w:rFonts w:ascii="Consolas" w:hAnsi="Consolas" w:eastAsia="Consolas"/>
                <w:sz w:val="18"/>
              </w:rPr>
              <w:t>Documented UN exceptions: 0</w:t>
            </w:r>
            <w:r>
              <w:br/>
            </w:r>
            <w:r>
              <w:rPr>
                <w:rFonts w:ascii="Consolas" w:hAnsi="Consolas" w:eastAsia="Consolas"/>
                <w:sz w:val="18"/>
              </w:rPr>
              <w:t>Direct hyperlinks: 86</w:t>
            </w:r>
            <w:r>
              <w:br/>
            </w:r>
            <w:r>
              <w:rPr>
                <w:rFonts w:ascii="Consolas" w:hAnsi="Consolas" w:eastAsia="Consolas"/>
                <w:sz w:val="18"/>
              </w:rPr>
              <w:t>Google News redirects: 0</w:t>
            </w:r>
            <w:r>
              <w:br/>
            </w:r>
            <w:r>
              <w:rPr>
                <w:rFonts w:ascii="Consolas" w:hAnsi="Consolas" w:eastAsia="Consolas"/>
                <w:sz w:val="18"/>
              </w:rPr>
              <w:t>Data integrity tests: PASS</w:t>
            </w:r>
            <w:r>
              <w:br/>
            </w:r>
            <w:r>
              <w:rPr>
                <w:rFonts w:ascii="Consolas" w:hAnsi="Consolas" w:eastAsia="Consolas"/>
                <w:sz w:val="18"/>
              </w:rPr>
              <w:t>UN protection tests: PASS</w:t>
            </w:r>
            <w:r>
              <w:br/>
            </w:r>
            <w:r>
              <w:rPr>
                <w:rFonts w:ascii="Consolas" w:hAnsi="Consolas" w:eastAsia="Consolas"/>
                <w:sz w:val="18"/>
              </w:rPr>
              <w:t>Editorial tests: PASS</w:t>
            </w:r>
            <w:r>
              <w:br/>
            </w:r>
            <w:r>
              <w:rPr>
                <w:rFonts w:ascii="Consolas" w:hAnsi="Consolas" w:eastAsia="Consolas"/>
                <w:sz w:val="18"/>
              </w:rPr>
              <w:t>Hyperlink tests: PASS</w:t>
            </w:r>
            <w:r>
              <w:br/>
            </w:r>
            <w:r>
              <w:rPr>
                <w:rFonts w:ascii="Consolas" w:hAnsi="Consolas" w:eastAsia="Consolas"/>
                <w:sz w:val="18"/>
              </w:rPr>
              <w:t>Formatting tests: PASS</w:t>
            </w:r>
            <w:r>
              <w:br/>
            </w:r>
            <w:r>
              <w:rPr>
                <w:rFonts w:ascii="Consolas" w:hAnsi="Consolas" w:eastAsia="Consolas"/>
                <w:sz w:val="18"/>
              </w:rPr>
              <w:t>Rendered pages: 5</w:t>
            </w:r>
            <w:r>
              <w:br/>
            </w:r>
            <w:r>
              <w:rPr>
                <w:rFonts w:ascii="Consolas" w:hAnsi="Consolas" w:eastAsia="Consolas"/>
                <w:sz w:val="18"/>
              </w:rPr>
              <w:t>Visual QA: PASS</w:t>
            </w:r>
          </w:p>
        </w:tc>
      </w:tr>
    </w:tbl>
    <w:p>
      <w:pPr>
        <w:pStyle w:val="Heading1"/>
        <w:keepNext/>
      </w:pPr>
      <w:r>
        <w:rPr>
          <w:rFonts w:ascii="Calibri" w:hAnsi="Calibri"/>
        </w:rPr>
        <w:t>29. Ready-to-use AGENTS.md template</w:t>
      </w:r>
    </w:p>
    <w:p>
      <w:r>
        <w:rPr>
          <w:rFonts w:ascii="Calibri" w:hAnsi="Calibri"/>
        </w:rPr>
        <w:t>Copy the following block into the repository root as AGENTS.md. It is intentionally shorter than the full SOP and converts the highest-risk requirements into mandatory operating instructions.</w:t>
      </w:r>
    </w:p>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6"/>
              </w:rPr>
              <w:t># PICS Libya News Headlines — Mandatory Codex Instructions</w:t>
            </w:r>
            <w:r>
              <w:br/>
            </w:r>
            <w:r>
              <w:rPr>
                <w:rFonts w:ascii="Consolas" w:hAnsi="Consolas" w:eastAsia="Consolas"/>
                <w:sz w:val="16"/>
              </w:rPr>
            </w:r>
            <w:r>
              <w:br/>
            </w:r>
            <w:r>
              <w:rPr>
                <w:rFonts w:ascii="Consolas" w:hAnsi="Consolas" w:eastAsia="Consolas"/>
                <w:sz w:val="16"/>
              </w:rPr>
              <w:t>Read the complete PICS Master SOP and the latest benchmark file before starting.</w:t>
            </w:r>
            <w:r>
              <w:br/>
            </w:r>
            <w:r>
              <w:rPr>
                <w:rFonts w:ascii="Consolas" w:hAnsi="Consolas" w:eastAsia="Consolas"/>
                <w:sz w:val="16"/>
              </w:rPr>
            </w:r>
            <w:r>
              <w:br/>
            </w:r>
            <w:r>
              <w:rPr>
                <w:rFonts w:ascii="Consolas" w:hAnsi="Consolas" w:eastAsia="Consolas"/>
                <w:sz w:val="16"/>
              </w:rPr>
              <w:t>## Source-of-truth order</w:t>
            </w:r>
            <w:r>
              <w:br/>
            </w:r>
            <w:r>
              <w:rPr>
                <w:rFonts w:ascii="Consolas" w:hAnsi="Consolas" w:eastAsia="Consolas"/>
                <w:sz w:val="16"/>
              </w:rPr>
              <w:t>1. Current user instruction</w:t>
            </w:r>
            <w:r>
              <w:br/>
            </w:r>
            <w:r>
              <w:rPr>
                <w:rFonts w:ascii="Consolas" w:hAnsi="Consolas" w:eastAsia="Consolas"/>
                <w:sz w:val="16"/>
              </w:rPr>
              <w:t>2. Complete current input dataset</w:t>
            </w:r>
            <w:r>
              <w:br/>
            </w:r>
            <w:r>
              <w:rPr>
                <w:rFonts w:ascii="Consolas" w:hAnsi="Consolas" w:eastAsia="Consolas"/>
                <w:sz w:val="16"/>
              </w:rPr>
              <w:t>3. Current approved-source universe</w:t>
            </w:r>
            <w:r>
              <w:br/>
            </w:r>
            <w:r>
              <w:rPr>
                <w:rFonts w:ascii="Consolas" w:hAnsi="Consolas" w:eastAsia="Consolas"/>
                <w:sz w:val="16"/>
              </w:rPr>
              <w:t>4. PICS Master SOP</w:t>
            </w:r>
            <w:r>
              <w:br/>
            </w:r>
            <w:r>
              <w:rPr>
                <w:rFonts w:ascii="Consolas" w:hAnsi="Consolas" w:eastAsia="Consolas"/>
                <w:sz w:val="16"/>
              </w:rPr>
              <w:t>5. 20260621_headlines.docx</w:t>
            </w:r>
            <w:r>
              <w:br/>
            </w:r>
            <w:r>
              <w:rPr>
                <w:rFonts w:ascii="Consolas" w:hAnsi="Consolas" w:eastAsia="Consolas"/>
                <w:sz w:val="16"/>
              </w:rPr>
              <w:t>6. Earlier benchmark files</w:t>
            </w:r>
            <w:r>
              <w:br/>
            </w:r>
            <w:r>
              <w:rPr>
                <w:rFonts w:ascii="Consolas" w:hAnsi="Consolas" w:eastAsia="Consolas"/>
                <w:sz w:val="16"/>
              </w:rPr>
              <w:t>7. Existing draft report</w:t>
            </w:r>
            <w:r>
              <w:br/>
            </w:r>
            <w:r>
              <w:rPr>
                <w:rFonts w:ascii="Consolas" w:hAnsi="Consolas" w:eastAsia="Consolas"/>
                <w:sz w:val="16"/>
              </w:rPr>
            </w:r>
            <w:r>
              <w:br/>
            </w:r>
            <w:r>
              <w:rPr>
                <w:rFonts w:ascii="Consolas" w:hAnsi="Consolas" w:eastAsia="Consolas"/>
                <w:sz w:val="16"/>
              </w:rPr>
              <w:t>The draft is not the authoritative article inventory.</w:t>
            </w:r>
            <w:r>
              <w:br/>
            </w:r>
            <w:r>
              <w:rPr>
                <w:rFonts w:ascii="Consolas" w:hAnsi="Consolas" w:eastAsia="Consolas"/>
                <w:sz w:val="16"/>
              </w:rPr>
            </w:r>
            <w:r>
              <w:br/>
            </w:r>
            <w:r>
              <w:rPr>
                <w:rFonts w:ascii="Consolas" w:hAnsi="Consolas" w:eastAsia="Consolas"/>
                <w:sz w:val="16"/>
              </w:rPr>
              <w:t>## Non-negotiable execution rules</w:t>
            </w:r>
            <w:r>
              <w:br/>
            </w:r>
            <w:r>
              <w:rPr>
                <w:rFonts w:ascii="Consolas" w:hAnsi="Consolas" w:eastAsia="Consolas"/>
                <w:sz w:val="16"/>
              </w:rPr>
              <w:t>- Assign a stable record_id to every source-level input article.</w:t>
            </w:r>
            <w:r>
              <w:br/>
            </w:r>
            <w:r>
              <w:rPr>
                <w:rFonts w:ascii="Consolas" w:hAnsi="Consolas" w:eastAsia="Consolas"/>
                <w:sz w:val="16"/>
              </w:rPr>
              <w:t>- Every record must end as INCLUDED, EXCLUDED, MERGED or UNRESOLVED.</w:t>
            </w:r>
            <w:r>
              <w:br/>
            </w:r>
            <w:r>
              <w:rPr>
                <w:rFonts w:ascii="Consolas" w:hAnsi="Consolas" w:eastAsia="Consolas"/>
                <w:sz w:val="16"/>
              </w:rPr>
              <w:t>- Final delivery is prohibited while UNRESOLVED &gt; 0.</w:t>
            </w:r>
            <w:r>
              <w:br/>
            </w:r>
            <w:r>
              <w:rPr>
                <w:rFonts w:ascii="Consolas" w:hAnsi="Consolas" w:eastAsia="Consolas"/>
                <w:sz w:val="16"/>
              </w:rPr>
              <w:t>- Reconcile: TOTAL = INCLUDED + EXCLUDED + MERGED + UNRESOLVED.</w:t>
            </w:r>
            <w:r>
              <w:br/>
            </w:r>
            <w:r>
              <w:rPr>
                <w:rFonts w:ascii="Consolas" w:hAnsi="Consolas" w:eastAsia="Consolas"/>
                <w:sz w:val="16"/>
              </w:rPr>
              <w:t>- Identify and lock all UN-related records before ordinary deduplication.</w:t>
            </w:r>
            <w:r>
              <w:br/>
            </w:r>
            <w:r>
              <w:rPr>
                <w:rFonts w:ascii="Consolas" w:hAnsi="Consolas" w:eastAsia="Consolas"/>
                <w:sz w:val="16"/>
              </w:rPr>
              <w:t>- Every distinct UN article/framing must remain a separate bullet with its own article hyperlink.</w:t>
            </w:r>
            <w:r>
              <w:br/>
            </w:r>
            <w:r>
              <w:rPr>
                <w:rFonts w:ascii="Consolas" w:hAnsi="Consolas" w:eastAsia="Consolas"/>
                <w:sz w:val="16"/>
              </w:rPr>
              <w:t>- Do not combine multiple UN outlets under one generic bullet.</w:t>
            </w:r>
            <w:r>
              <w:br/>
            </w:r>
            <w:r>
              <w:rPr>
                <w:rFonts w:ascii="Consolas" w:hAnsi="Consolas" w:eastAsia="Consolas"/>
                <w:sz w:val="16"/>
              </w:rPr>
              <w:t>- Non-UN items may be consolidated only after article-level comparison proves the same fact and framing.</w:t>
            </w:r>
            <w:r>
              <w:br/>
            </w:r>
            <w:r>
              <w:rPr>
                <w:rFonts w:ascii="Consolas" w:hAnsi="Consolas" w:eastAsia="Consolas"/>
                <w:sz w:val="16"/>
              </w:rPr>
              <w:t>- Verify the direct article page, outlet, publication date, content, names, roles, figures and framing.</w:t>
            </w:r>
            <w:r>
              <w:br/>
            </w:r>
            <w:r>
              <w:rPr>
                <w:rFonts w:ascii="Consolas" w:hAnsi="Consolas" w:eastAsia="Consolas"/>
                <w:sz w:val="16"/>
              </w:rPr>
              <w:t>- Search snippets, Google News titles, URL slugs and homepage previews are not sufficient evidence.</w:t>
            </w:r>
            <w:r>
              <w:br/>
            </w:r>
            <w:r>
              <w:rPr>
                <w:rFonts w:ascii="Consolas" w:hAnsi="Consolas" w:eastAsia="Consolas"/>
                <w:sz w:val="16"/>
              </w:rPr>
              <w:t>- Generate the DOCX from verified structured data.</w:t>
            </w:r>
            <w:r>
              <w:br/>
            </w:r>
            <w:r>
              <w:rPr>
                <w:rFonts w:ascii="Consolas" w:hAnsi="Consolas" w:eastAsia="Consolas"/>
                <w:sz w:val="16"/>
              </w:rPr>
              <w:t>- Source hyperlinks must be Word-native, direct, #467886 and single-underlined; (Arabic) stays black and outside the link.</w:t>
            </w:r>
            <w:r>
              <w:br/>
            </w:r>
            <w:r>
              <w:rPr>
                <w:rFonts w:ascii="Consolas" w:hAnsi="Consolas" w:eastAsia="Consolas"/>
                <w:sz w:val="16"/>
              </w:rPr>
              <w:t>- Apply the exact PICS section order, current 20260621 bullet layout and exact disclaimer.</w:t>
            </w:r>
            <w:r>
              <w:br/>
            </w:r>
            <w:r>
              <w:rPr>
                <w:rFonts w:ascii="Consolas" w:hAnsi="Consolas" w:eastAsia="Consolas"/>
                <w:sz w:val="16"/>
              </w:rPr>
              <w:t>- Run all validators and render the DOCX. Inspect every page.</w:t>
            </w:r>
            <w:r>
              <w:br/>
            </w:r>
            <w:r>
              <w:rPr>
                <w:rFonts w:ascii="Consolas" w:hAnsi="Consolas" w:eastAsia="Consolas"/>
                <w:sz w:val="16"/>
              </w:rPr>
              <w:t>- Do not deliver when any test fails or any page has a visual defect.</w:t>
            </w:r>
            <w:r>
              <w:br/>
            </w:r>
            <w:r>
              <w:rPr>
                <w:rFonts w:ascii="Consolas" w:hAnsi="Consolas" w:eastAsia="Consolas"/>
                <w:sz w:val="16"/>
              </w:rPr>
            </w:r>
            <w:r>
              <w:br/>
            </w:r>
            <w:r>
              <w:rPr>
                <w:rFonts w:ascii="Consolas" w:hAnsi="Consolas" w:eastAsia="Consolas"/>
                <w:sz w:val="16"/>
              </w:rPr>
              <w:t>## Required outputs</w:t>
            </w:r>
            <w:r>
              <w:br/>
            </w:r>
            <w:r>
              <w:rPr>
                <w:rFonts w:ascii="Consolas" w:hAnsi="Consolas" w:eastAsia="Consolas"/>
                <w:sz w:val="16"/>
              </w:rPr>
              <w:t>- Final PICS DOCX</w:t>
            </w:r>
            <w:r>
              <w:br/>
            </w:r>
            <w:r>
              <w:rPr>
                <w:rFonts w:ascii="Consolas" w:hAnsi="Consolas" w:eastAsia="Consolas"/>
                <w:sz w:val="16"/>
              </w:rPr>
              <w:t>- Verification/reconciliation table</w:t>
            </w:r>
            <w:r>
              <w:br/>
            </w:r>
            <w:r>
              <w:rPr>
                <w:rFonts w:ascii="Consolas" w:hAnsi="Consolas" w:eastAsia="Consolas"/>
                <w:sz w:val="16"/>
              </w:rPr>
              <w:t>- UN inventory</w:t>
            </w:r>
            <w:r>
              <w:br/>
            </w:r>
            <w:r>
              <w:rPr>
                <w:rFonts w:ascii="Consolas" w:hAnsi="Consolas" w:eastAsia="Consolas"/>
                <w:sz w:val="16"/>
              </w:rPr>
              <w:t>- Validation results</w:t>
            </w:r>
            <w:r>
              <w:br/>
            </w:r>
            <w:r>
              <w:rPr>
                <w:rFonts w:ascii="Consolas" w:hAnsi="Consolas" w:eastAsia="Consolas"/>
                <w:sz w:val="16"/>
              </w:rPr>
              <w:t>- Completion report with all mandatory counts</w:t>
            </w:r>
          </w:p>
        </w:tc>
      </w:tr>
    </w:tbl>
    <w:p>
      <w:pPr>
        <w:pStyle w:val="Heading1"/>
        <w:keepNext/>
      </w:pPr>
      <w:r>
        <w:rPr>
          <w:rFonts w:ascii="Calibri" w:hAnsi="Calibri"/>
        </w:rPr>
        <w:t>30. Ready-to-use Codex execution prompt</w:t>
      </w:r>
    </w:p>
    <w:p>
      <w:r>
        <w:rPr>
          <w:rFonts w:ascii="Calibri" w:hAnsi="Calibri"/>
        </w:rPr>
        <w:t>Use this task prompt together with AGENTS.md, the full SOP, the source dataset and the benchmark files:</w:t>
      </w:r>
    </w:p>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6"/>
              </w:rPr>
              <w:t>Enhance and rebuild the supplied Libya News Headlines report in exact PICS/UNSMIL style.</w:t>
            </w:r>
            <w:r>
              <w:br/>
            </w:r>
            <w:r>
              <w:rPr>
                <w:rFonts w:ascii="Consolas" w:hAnsi="Consolas" w:eastAsia="Consolas"/>
                <w:sz w:val="16"/>
              </w:rPr>
            </w:r>
            <w:r>
              <w:br/>
            </w:r>
            <w:r>
              <w:rPr>
                <w:rFonts w:ascii="Consolas" w:hAnsi="Consolas" w:eastAsia="Consolas"/>
                <w:sz w:val="16"/>
              </w:rPr>
              <w:t>Before editing the DOCX:</w:t>
            </w:r>
            <w:r>
              <w:br/>
            </w:r>
            <w:r>
              <w:rPr>
                <w:rFonts w:ascii="Consolas" w:hAnsi="Consolas" w:eastAsia="Consolas"/>
                <w:sz w:val="16"/>
              </w:rPr>
              <w:t>1. Read AGENTS.md, the complete PICS Master SOP, 20260621_headlines.docx and all supplied task files.</w:t>
            </w:r>
            <w:r>
              <w:br/>
            </w:r>
            <w:r>
              <w:rPr>
                <w:rFonts w:ascii="Consolas" w:hAnsi="Consolas" w:eastAsia="Consolas"/>
                <w:sz w:val="16"/>
              </w:rPr>
              <w:t>2. Extract every source-level candidate article and assign a stable record_id.</w:t>
            </w:r>
            <w:r>
              <w:br/>
            </w:r>
            <w:r>
              <w:rPr>
                <w:rFonts w:ascii="Consolas" w:hAnsi="Consolas" w:eastAsia="Consolas"/>
                <w:sz w:val="16"/>
              </w:rPr>
              <w:t>3. Resolve every redirect to the direct article page.</w:t>
            </w:r>
            <w:r>
              <w:br/>
            </w:r>
            <w:r>
              <w:rPr>
                <w:rFonts w:ascii="Consolas" w:hAnsi="Consolas" w:eastAsia="Consolas"/>
                <w:sz w:val="16"/>
              </w:rPr>
              <w:t>4. Verify the outlet, original headline, publication date, Libya relevance and article content.</w:t>
            </w:r>
            <w:r>
              <w:br/>
            </w:r>
            <w:r>
              <w:rPr>
                <w:rFonts w:ascii="Consolas" w:hAnsi="Consolas" w:eastAsia="Consolas"/>
                <w:sz w:val="16"/>
              </w:rPr>
              <w:t>5. Build a protected UN inventory before any deduplication. Every distinct UN article/framing must remain a separate bullet with its own source hyperlink.</w:t>
            </w:r>
            <w:r>
              <w:br/>
            </w:r>
            <w:r>
              <w:rPr>
                <w:rFonts w:ascii="Consolas" w:hAnsi="Consolas" w:eastAsia="Consolas"/>
                <w:sz w:val="16"/>
              </w:rPr>
              <w:t>6. Classify non-UN duplicates using the controlled taxonomy. Do not merge different quotations, statistics, allegations, reactions, analyses or follow-up developments.</w:t>
            </w:r>
            <w:r>
              <w:br/>
            </w:r>
            <w:r>
              <w:rPr>
                <w:rFonts w:ascii="Consolas" w:hAnsi="Consolas" w:eastAsia="Consolas"/>
                <w:sz w:val="16"/>
              </w:rPr>
              <w:t>7. Record one final decision for every input record: INCLUDED, EXCLUDED, MERGED or UNRESOLVED. UNRESOLVED must equal zero before delivery.</w:t>
            </w:r>
            <w:r>
              <w:br/>
            </w:r>
            <w:r>
              <w:rPr>
                <w:rFonts w:ascii="Consolas" w:hAnsi="Consolas" w:eastAsia="Consolas"/>
                <w:sz w:val="16"/>
              </w:rPr>
              <w:t>8. Reconcile the complete input inventory mathematically.</w:t>
            </w:r>
            <w:r>
              <w:br/>
            </w:r>
            <w:r>
              <w:rPr>
                <w:rFonts w:ascii="Consolas" w:hAnsi="Consolas" w:eastAsia="Consolas"/>
                <w:sz w:val="16"/>
              </w:rPr>
              <w:t>9. Write source-faithful PICS headlines, verify roles and classify stories into the fixed section order and dynamic event-based subsections.</w:t>
            </w:r>
            <w:r>
              <w:br/>
            </w:r>
            <w:r>
              <w:rPr>
                <w:rFonts w:ascii="Consolas" w:hAnsi="Consolas" w:eastAsia="Consolas"/>
                <w:sz w:val="16"/>
              </w:rPr>
              <w:t>10. Generate the final DOCX from the verified dataset, using the current 20260621 bullet layout, exact fonts, margins, hyperlink colour #467886, black (Arabic) markers and exact disclaimer.</w:t>
            </w:r>
            <w:r>
              <w:br/>
            </w:r>
            <w:r>
              <w:rPr>
                <w:rFonts w:ascii="Consolas" w:hAnsi="Consolas" w:eastAsia="Consolas"/>
                <w:sz w:val="16"/>
              </w:rPr>
              <w:t>11. Run data-integrity, UN-protection, editorial, hyperlink and formatting tests.</w:t>
            </w:r>
            <w:r>
              <w:br/>
            </w:r>
            <w:r>
              <w:rPr>
                <w:rFonts w:ascii="Consolas" w:hAnsi="Consolas" w:eastAsia="Consolas"/>
                <w:sz w:val="16"/>
              </w:rPr>
              <w:t>12. Render the DOCX and inspect every page. Repair and repeat until all tests pass.</w:t>
            </w:r>
            <w:r>
              <w:br/>
            </w:r>
            <w:r>
              <w:rPr>
                <w:rFonts w:ascii="Consolas" w:hAnsi="Consolas" w:eastAsia="Consolas"/>
                <w:sz w:val="16"/>
              </w:rPr>
            </w:r>
            <w:r>
              <w:br/>
            </w:r>
            <w:r>
              <w:rPr>
                <w:rFonts w:ascii="Consolas" w:hAnsi="Consolas" w:eastAsia="Consolas"/>
                <w:sz w:val="16"/>
              </w:rPr>
              <w:t>Do not deliver a partial report. Do not state that the task is complete unless the reconciliation equation balances, UNRESOLVED = 0, all protected UN records are present, Google News redirects = 0, all validators pass and visual QA passes.</w:t>
            </w:r>
            <w:r>
              <w:br/>
            </w:r>
            <w:r>
              <w:rPr>
                <w:rFonts w:ascii="Consolas" w:hAnsi="Consolas" w:eastAsia="Consolas"/>
                <w:sz w:val="16"/>
              </w:rPr>
            </w:r>
            <w:r>
              <w:br/>
            </w:r>
            <w:r>
              <w:rPr>
                <w:rFonts w:ascii="Consolas" w:hAnsi="Consolas" w:eastAsia="Consolas"/>
                <w:sz w:val="16"/>
              </w:rPr>
              <w:t>Deliver:</w:t>
            </w:r>
            <w:r>
              <w:br/>
            </w:r>
            <w:r>
              <w:rPr>
                <w:rFonts w:ascii="Consolas" w:hAnsi="Consolas" w:eastAsia="Consolas"/>
                <w:sz w:val="16"/>
              </w:rPr>
              <w:t>- Final DOCX</w:t>
            </w:r>
            <w:r>
              <w:br/>
            </w:r>
            <w:r>
              <w:rPr>
                <w:rFonts w:ascii="Consolas" w:hAnsi="Consolas" w:eastAsia="Consolas"/>
                <w:sz w:val="16"/>
              </w:rPr>
              <w:t>- Verification/reconciliation table</w:t>
            </w:r>
            <w:r>
              <w:br/>
            </w:r>
            <w:r>
              <w:rPr>
                <w:rFonts w:ascii="Consolas" w:hAnsi="Consolas" w:eastAsia="Consolas"/>
                <w:sz w:val="16"/>
              </w:rPr>
              <w:t>- UN inventory</w:t>
            </w:r>
            <w:r>
              <w:br/>
            </w:r>
            <w:r>
              <w:rPr>
                <w:rFonts w:ascii="Consolas" w:hAnsi="Consolas" w:eastAsia="Consolas"/>
                <w:sz w:val="16"/>
              </w:rPr>
              <w:t>- Validation results</w:t>
            </w:r>
            <w:r>
              <w:br/>
            </w:r>
            <w:r>
              <w:rPr>
                <w:rFonts w:ascii="Consolas" w:hAnsi="Consolas" w:eastAsia="Consolas"/>
                <w:sz w:val="16"/>
              </w:rPr>
              <w:t>- Completion summary with all required counts and exact output paths.</w:t>
            </w:r>
          </w:p>
        </w:tc>
      </w:tr>
    </w:tbl>
    <w:p>
      <w:pPr>
        <w:pStyle w:val="Heading1"/>
        <w:keepNext/>
      </w:pPr>
      <w:r>
        <w:rPr>
          <w:rFonts w:ascii="Calibri" w:hAnsi="Calibri"/>
        </w:rPr>
        <w:t>31. Suggested validator and test responsibilities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9E6EA"/>
            <w:vAlign w:val="center"/>
            <w:tcMar>
              <w:top w:w="90" w:type="dxa"/>
              <w:start w:w="110" w:type="dxa"/>
              <w:bottom w:w="90" w:type="dxa"/>
              <w:end w:w="110" w:type="dxa"/>
            </w:tcMar>
          </w:tcPr>
          <w:p>
            <w:pPr>
              <w:jc w:val="center"/>
            </w:pPr>
            <w:r>
              <w:rPr>
                <w:b/>
                <w:sz w:val="16"/>
              </w:rPr>
              <w:t>Component</w:t>
            </w:r>
          </w:p>
        </w:tc>
        <w:tc>
          <w:tcPr>
            <w:tcW w:type="dxa" w:w="6480"/>
            <w:shd w:fill="D9E6EA"/>
            <w:vAlign w:val="center"/>
            <w:tcMar>
              <w:top w:w="90" w:type="dxa"/>
              <w:start w:w="110" w:type="dxa"/>
              <w:bottom w:w="90" w:type="dxa"/>
              <w:end w:w="110" w:type="dxa"/>
            </w:tcMar>
          </w:tcPr>
          <w:p>
            <w:pPr>
              <w:jc w:val="center"/>
            </w:pPr>
            <w:r>
              <w:rPr>
                <w:b/>
                <w:sz w:val="16"/>
              </w:rPr>
              <w:t>Minimum responsibility</w:t>
            </w:r>
          </w:p>
        </w:tc>
      </w:tr>
      <w:tr>
        <w:tc>
          <w:tcPr>
            <w:tcW w:type="dxa" w:w="2880"/>
            <w:vAlign w:val="top"/>
            <w:tcMar>
              <w:top w:w="90" w:type="dxa"/>
              <w:start w:w="110" w:type="dxa"/>
              <w:bottom w:w="90" w:type="dxa"/>
              <w:end w:w="110" w:type="dxa"/>
            </w:tcMar>
          </w:tcPr>
          <w:p>
            <w:pPr>
              <w:spacing w:after="0"/>
            </w:pPr>
            <w:r>
              <w:rPr>
                <w:sz w:val="16"/>
              </w:rPr>
              <w:t>extract_docx_records.py</w:t>
            </w:r>
          </w:p>
        </w:tc>
        <w:tc>
          <w:tcPr>
            <w:tcW w:type="dxa" w:w="6480"/>
            <w:vAlign w:val="top"/>
            <w:tcMar>
              <w:top w:w="90" w:type="dxa"/>
              <w:start w:w="110" w:type="dxa"/>
              <w:bottom w:w="90" w:type="dxa"/>
              <w:end w:w="110" w:type="dxa"/>
            </w:tcMar>
          </w:tcPr>
          <w:p>
            <w:pPr>
              <w:spacing w:after="0"/>
            </w:pPr>
            <w:r>
              <w:rPr>
                <w:sz w:val="16"/>
              </w:rPr>
              <w:t>Extract paragraph text, source labels, hyperlinks and input locations without losing duplicate records.</w:t>
            </w:r>
          </w:p>
        </w:tc>
      </w:tr>
      <w:tr>
        <w:tc>
          <w:tcPr>
            <w:tcW w:type="dxa" w:w="2880"/>
            <w:vAlign w:val="top"/>
            <w:tcMar>
              <w:top w:w="90" w:type="dxa"/>
              <w:start w:w="110" w:type="dxa"/>
              <w:bottom w:w="90" w:type="dxa"/>
              <w:end w:w="110" w:type="dxa"/>
            </w:tcMar>
          </w:tcPr>
          <w:p>
            <w:pPr>
              <w:spacing w:after="0"/>
            </w:pPr>
            <w:r>
              <w:rPr>
                <w:sz w:val="16"/>
              </w:rPr>
              <w:t>resolve_urls.py</w:t>
            </w:r>
          </w:p>
        </w:tc>
        <w:tc>
          <w:tcPr>
            <w:tcW w:type="dxa" w:w="6480"/>
            <w:vAlign w:val="top"/>
            <w:tcMar>
              <w:top w:w="90" w:type="dxa"/>
              <w:start w:w="110" w:type="dxa"/>
              <w:bottom w:w="90" w:type="dxa"/>
              <w:end w:w="110" w:type="dxa"/>
            </w:tcMar>
          </w:tcPr>
          <w:p>
            <w:pPr>
              <w:spacing w:after="0"/>
            </w:pPr>
            <w:r>
              <w:rPr>
                <w:sz w:val="16"/>
              </w:rPr>
              <w:t>Resolve redirect chains, normalise URLs and flag homepages/category/search pages.</w:t>
            </w:r>
          </w:p>
        </w:tc>
      </w:tr>
      <w:tr>
        <w:tc>
          <w:tcPr>
            <w:tcW w:type="dxa" w:w="2880"/>
            <w:vAlign w:val="top"/>
            <w:tcMar>
              <w:top w:w="90" w:type="dxa"/>
              <w:start w:w="110" w:type="dxa"/>
              <w:bottom w:w="90" w:type="dxa"/>
              <w:end w:w="110" w:type="dxa"/>
            </w:tcMar>
          </w:tcPr>
          <w:p>
            <w:pPr>
              <w:spacing w:after="0"/>
            </w:pPr>
            <w:r>
              <w:rPr>
                <w:sz w:val="16"/>
              </w:rPr>
              <w:t>validate_records.py</w:t>
            </w:r>
          </w:p>
        </w:tc>
        <w:tc>
          <w:tcPr>
            <w:tcW w:type="dxa" w:w="6480"/>
            <w:vAlign w:val="top"/>
            <w:tcMar>
              <w:top w:w="90" w:type="dxa"/>
              <w:start w:w="110" w:type="dxa"/>
              <w:bottom w:w="90" w:type="dxa"/>
              <w:end w:w="110" w:type="dxa"/>
            </w:tcMar>
          </w:tcPr>
          <w:p>
            <w:pPr>
              <w:spacing w:after="0"/>
            </w:pPr>
            <w:r>
              <w:rPr>
                <w:sz w:val="16"/>
              </w:rPr>
              <w:t>Validate required fields, decisions, dates, article accessibility and reconciliation.</w:t>
            </w:r>
          </w:p>
        </w:tc>
      </w:tr>
      <w:tr>
        <w:tc>
          <w:tcPr>
            <w:tcW w:type="dxa" w:w="2880"/>
            <w:vAlign w:val="top"/>
            <w:tcMar>
              <w:top w:w="90" w:type="dxa"/>
              <w:start w:w="110" w:type="dxa"/>
              <w:bottom w:w="90" w:type="dxa"/>
              <w:end w:w="110" w:type="dxa"/>
            </w:tcMar>
          </w:tcPr>
          <w:p>
            <w:pPr>
              <w:spacing w:after="0"/>
            </w:pPr>
            <w:r>
              <w:rPr>
                <w:sz w:val="16"/>
              </w:rPr>
              <w:t>build_pics_docx.py</w:t>
            </w:r>
          </w:p>
        </w:tc>
        <w:tc>
          <w:tcPr>
            <w:tcW w:type="dxa" w:w="6480"/>
            <w:vAlign w:val="top"/>
            <w:tcMar>
              <w:top w:w="90" w:type="dxa"/>
              <w:start w:w="110" w:type="dxa"/>
              <w:bottom w:w="90" w:type="dxa"/>
              <w:end w:w="110" w:type="dxa"/>
            </w:tcMar>
          </w:tcPr>
          <w:p>
            <w:pPr>
              <w:spacing w:after="0"/>
            </w:pPr>
            <w:r>
              <w:rPr>
                <w:sz w:val="16"/>
              </w:rPr>
              <w:t>Generate the final PICS document only from verified structured records.</w:t>
            </w:r>
          </w:p>
        </w:tc>
      </w:tr>
      <w:tr>
        <w:tc>
          <w:tcPr>
            <w:tcW w:type="dxa" w:w="2880"/>
            <w:vAlign w:val="top"/>
            <w:tcMar>
              <w:top w:w="90" w:type="dxa"/>
              <w:start w:w="110" w:type="dxa"/>
              <w:bottom w:w="90" w:type="dxa"/>
              <w:end w:w="110" w:type="dxa"/>
            </w:tcMar>
          </w:tcPr>
          <w:p>
            <w:pPr>
              <w:spacing w:after="0"/>
            </w:pPr>
            <w:r>
              <w:rPr>
                <w:sz w:val="16"/>
              </w:rPr>
              <w:t>validate_docx.py</w:t>
            </w:r>
          </w:p>
        </w:tc>
        <w:tc>
          <w:tcPr>
            <w:tcW w:type="dxa" w:w="6480"/>
            <w:vAlign w:val="top"/>
            <w:tcMar>
              <w:top w:w="90" w:type="dxa"/>
              <w:start w:w="110" w:type="dxa"/>
              <w:bottom w:w="90" w:type="dxa"/>
              <w:end w:w="110" w:type="dxa"/>
            </w:tcMar>
          </w:tcPr>
          <w:p>
            <w:pPr>
              <w:spacing w:after="0"/>
            </w:pPr>
            <w:r>
              <w:rPr>
                <w:sz w:val="16"/>
              </w:rPr>
              <w:t>Inspect page settings, fonts, headings, bullets, source hyperlinks, hyperlink colour, language markers and disclaimer.</w:t>
            </w:r>
          </w:p>
        </w:tc>
      </w:tr>
      <w:tr>
        <w:tc>
          <w:tcPr>
            <w:tcW w:type="dxa" w:w="2880"/>
            <w:vAlign w:val="top"/>
            <w:tcMar>
              <w:top w:w="90" w:type="dxa"/>
              <w:start w:w="110" w:type="dxa"/>
              <w:bottom w:w="90" w:type="dxa"/>
              <w:end w:w="110" w:type="dxa"/>
            </w:tcMar>
          </w:tcPr>
          <w:p>
            <w:pPr>
              <w:spacing w:after="0"/>
            </w:pPr>
            <w:r>
              <w:rPr>
                <w:sz w:val="16"/>
              </w:rPr>
              <w:t>test_reconciliation.py</w:t>
            </w:r>
          </w:p>
        </w:tc>
        <w:tc>
          <w:tcPr>
            <w:tcW w:type="dxa" w:w="6480"/>
            <w:vAlign w:val="top"/>
            <w:tcMar>
              <w:top w:w="90" w:type="dxa"/>
              <w:start w:w="110" w:type="dxa"/>
              <w:bottom w:w="90" w:type="dxa"/>
              <w:end w:w="110" w:type="dxa"/>
            </w:tcMar>
          </w:tcPr>
          <w:p>
            <w:pPr>
              <w:spacing w:after="0"/>
            </w:pPr>
            <w:r>
              <w:rPr>
                <w:sz w:val="16"/>
              </w:rPr>
              <w:t>Enforce count equations, unique record IDs and final-item mappings.</w:t>
            </w:r>
          </w:p>
        </w:tc>
      </w:tr>
      <w:tr>
        <w:tc>
          <w:tcPr>
            <w:tcW w:type="dxa" w:w="2880"/>
            <w:vAlign w:val="top"/>
            <w:tcMar>
              <w:top w:w="90" w:type="dxa"/>
              <w:start w:w="110" w:type="dxa"/>
              <w:bottom w:w="90" w:type="dxa"/>
              <w:end w:w="110" w:type="dxa"/>
            </w:tcMar>
          </w:tcPr>
          <w:p>
            <w:pPr>
              <w:spacing w:after="0"/>
            </w:pPr>
            <w:r>
              <w:rPr>
                <w:sz w:val="16"/>
              </w:rPr>
              <w:t>test_un_protection.py</w:t>
            </w:r>
          </w:p>
        </w:tc>
        <w:tc>
          <w:tcPr>
            <w:tcW w:type="dxa" w:w="6480"/>
            <w:vAlign w:val="top"/>
            <w:tcMar>
              <w:top w:w="90" w:type="dxa"/>
              <w:start w:w="110" w:type="dxa"/>
              <w:bottom w:w="90" w:type="dxa"/>
              <w:end w:w="110" w:type="dxa"/>
            </w:tcMar>
          </w:tcPr>
          <w:p>
            <w:pPr>
              <w:spacing w:after="0"/>
            </w:pPr>
            <w:r>
              <w:rPr>
                <w:sz w:val="16"/>
              </w:rPr>
              <w:t>Enforce UN inventory completeness and separate-bullet logic.</w:t>
            </w:r>
          </w:p>
        </w:tc>
      </w:tr>
      <w:tr>
        <w:tc>
          <w:tcPr>
            <w:tcW w:type="dxa" w:w="2880"/>
            <w:vAlign w:val="top"/>
            <w:tcMar>
              <w:top w:w="90" w:type="dxa"/>
              <w:start w:w="110" w:type="dxa"/>
              <w:bottom w:w="90" w:type="dxa"/>
              <w:end w:w="110" w:type="dxa"/>
            </w:tcMar>
          </w:tcPr>
          <w:p>
            <w:pPr>
              <w:spacing w:after="0"/>
            </w:pPr>
            <w:r>
              <w:rPr>
                <w:sz w:val="16"/>
              </w:rPr>
              <w:t>test_hyperlinks.py</w:t>
            </w:r>
          </w:p>
        </w:tc>
        <w:tc>
          <w:tcPr>
            <w:tcW w:type="dxa" w:w="6480"/>
            <w:vAlign w:val="top"/>
            <w:tcMar>
              <w:top w:w="90" w:type="dxa"/>
              <w:start w:w="110" w:type="dxa"/>
              <w:bottom w:w="90" w:type="dxa"/>
              <w:end w:w="110" w:type="dxa"/>
            </w:tcMar>
          </w:tcPr>
          <w:p>
            <w:pPr>
              <w:spacing w:after="0"/>
            </w:pPr>
            <w:r>
              <w:rPr>
                <w:sz w:val="16"/>
              </w:rPr>
              <w:t>Reject redirects, homepages, category pages, wrong link text and wrong styling.</w:t>
            </w:r>
          </w:p>
        </w:tc>
      </w:tr>
      <w:tr>
        <w:tc>
          <w:tcPr>
            <w:tcW w:type="dxa" w:w="2880"/>
            <w:vAlign w:val="top"/>
            <w:tcMar>
              <w:top w:w="90" w:type="dxa"/>
              <w:start w:w="110" w:type="dxa"/>
              <w:bottom w:w="90" w:type="dxa"/>
              <w:end w:w="110" w:type="dxa"/>
            </w:tcMar>
          </w:tcPr>
          <w:p>
            <w:pPr>
              <w:spacing w:after="0"/>
            </w:pPr>
            <w:r>
              <w:rPr>
                <w:sz w:val="16"/>
              </w:rPr>
              <w:t>test_formatting.py</w:t>
            </w:r>
          </w:p>
        </w:tc>
        <w:tc>
          <w:tcPr>
            <w:tcW w:type="dxa" w:w="6480"/>
            <w:vAlign w:val="top"/>
            <w:tcMar>
              <w:top w:w="90" w:type="dxa"/>
              <w:start w:w="110" w:type="dxa"/>
              <w:bottom w:w="90" w:type="dxa"/>
              <w:end w:w="110" w:type="dxa"/>
            </w:tcMar>
          </w:tcPr>
          <w:p>
            <w:pPr>
              <w:spacing w:after="0"/>
            </w:pPr>
            <w:r>
              <w:rPr>
                <w:sz w:val="16"/>
              </w:rPr>
              <w:t>Enforce Letter size, margins, fonts, heading order, spacing and disclaimer.</w:t>
            </w:r>
          </w:p>
        </w:tc>
      </w:tr>
      <w:tr>
        <w:tc>
          <w:tcPr>
            <w:tcW w:type="dxa" w:w="2880"/>
            <w:vAlign w:val="top"/>
            <w:tcMar>
              <w:top w:w="90" w:type="dxa"/>
              <w:start w:w="110" w:type="dxa"/>
              <w:bottom w:w="90" w:type="dxa"/>
              <w:end w:w="110" w:type="dxa"/>
            </w:tcMar>
          </w:tcPr>
          <w:p>
            <w:pPr>
              <w:spacing w:after="0"/>
            </w:pPr>
            <w:r>
              <w:rPr>
                <w:sz w:val="16"/>
              </w:rPr>
              <w:t>test_editorial_rules.py</w:t>
            </w:r>
          </w:p>
        </w:tc>
        <w:tc>
          <w:tcPr>
            <w:tcW w:type="dxa" w:w="6480"/>
            <w:vAlign w:val="top"/>
            <w:tcMar>
              <w:top w:w="90" w:type="dxa"/>
              <w:start w:w="110" w:type="dxa"/>
              <w:bottom w:w="90" w:type="dxa"/>
              <w:end w:w="110" w:type="dxa"/>
            </w:tcMar>
          </w:tcPr>
          <w:p>
            <w:pPr>
              <w:spacing w:after="0"/>
            </w:pPr>
            <w:r>
              <w:rPr>
                <w:sz w:val="16"/>
              </w:rPr>
              <w:t>Detect banned generic labels, empty sections, placeholders and unsupported structures.</w:t>
            </w:r>
          </w:p>
        </w:tc>
      </w:tr>
      <w:tr>
        <w:tc>
          <w:tcPr>
            <w:tcW w:type="dxa" w:w="2880"/>
            <w:vAlign w:val="top"/>
            <w:tcMar>
              <w:top w:w="90" w:type="dxa"/>
              <w:start w:w="110" w:type="dxa"/>
              <w:bottom w:w="90" w:type="dxa"/>
              <w:end w:w="110" w:type="dxa"/>
            </w:tcMar>
          </w:tcPr>
          <w:p>
            <w:pPr>
              <w:spacing w:after="0"/>
            </w:pPr>
            <w:r>
              <w:rPr>
                <w:sz w:val="16"/>
              </w:rPr>
              <w:t>render_and_review.py</w:t>
            </w:r>
          </w:p>
        </w:tc>
        <w:tc>
          <w:tcPr>
            <w:tcW w:type="dxa" w:w="6480"/>
            <w:vAlign w:val="top"/>
            <w:tcMar>
              <w:top w:w="90" w:type="dxa"/>
              <w:start w:w="110" w:type="dxa"/>
              <w:bottom w:w="90" w:type="dxa"/>
              <w:end w:w="110" w:type="dxa"/>
            </w:tcMar>
          </w:tcPr>
          <w:p>
            <w:pPr>
              <w:spacing w:after="0"/>
            </w:pPr>
            <w:r>
              <w:rPr>
                <w:sz w:val="16"/>
              </w:rPr>
              <w:t>Render all pages and create an auditable visual-QA output.</w:t>
            </w:r>
          </w:p>
        </w:tc>
      </w:tr>
    </w:tbl>
    <w:p>
      <w:pPr>
        <w:pStyle w:val="ListBullet"/>
      </w:pPr>
      <w:r>
        <w:rPr>
          <w:rFonts w:ascii="Calibri" w:hAnsi="Calibri"/>
        </w:rPr>
        <w:t>A different programming language or filename is acceptable if the same tests and enforcement are present.</w:t>
      </w:r>
    </w:p>
    <w:p>
      <w:pPr>
        <w:pStyle w:val="ListBullet"/>
      </w:pPr>
      <w:r>
        <w:rPr>
          <w:rFonts w:ascii="Calibri" w:hAnsi="Calibri"/>
        </w:rPr>
        <w:t>Manual review is still required for semantic issues such as distinct framing, role verification and headline fidelity; automated tests supplement but do not replace editorial judgement.</w:t>
      </w:r>
    </w:p>
    <w:p>
      <w:pPr>
        <w:pStyle w:val="Heading1"/>
        <w:keepNext/>
      </w:pPr>
      <w:r>
        <w:rPr>
          <w:rFonts w:ascii="Calibri" w:hAnsi="Calibri"/>
        </w:rPr>
        <w:t>32. Controlled exclusion reasons</w:t>
      </w:r>
    </w:p>
    <w:p>
      <w:r>
        <w:rPr>
          <w:rFonts w:ascii="Calibri" w:hAnsi="Calibri"/>
        </w:rPr>
        <w:t>Use a controlled reason whenever possible. A vague reason such as “not needed” is prohibited.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D9E6EA"/>
            <w:vAlign w:val="center"/>
            <w:tcMar>
              <w:top w:w="90" w:type="dxa"/>
              <w:start w:w="110" w:type="dxa"/>
              <w:bottom w:w="90" w:type="dxa"/>
              <w:end w:w="110" w:type="dxa"/>
            </w:tcMar>
          </w:tcPr>
          <w:p>
            <w:pPr>
              <w:jc w:val="center"/>
            </w:pPr>
            <w:r>
              <w:rPr>
                <w:b/>
                <w:sz w:val="16"/>
              </w:rPr>
              <w:t>Reason code</w:t>
            </w:r>
          </w:p>
        </w:tc>
        <w:tc>
          <w:tcPr>
            <w:tcW w:type="dxa" w:w="6336"/>
            <w:shd w:fill="D9E6EA"/>
            <w:vAlign w:val="center"/>
            <w:tcMar>
              <w:top w:w="90" w:type="dxa"/>
              <w:start w:w="110" w:type="dxa"/>
              <w:bottom w:w="90" w:type="dxa"/>
              <w:end w:w="110" w:type="dxa"/>
            </w:tcMar>
          </w:tcPr>
          <w:p>
            <w:pPr>
              <w:jc w:val="center"/>
            </w:pPr>
            <w:r>
              <w:rPr>
                <w:b/>
                <w:sz w:val="16"/>
              </w:rPr>
              <w:t>Definition</w:t>
            </w:r>
          </w:p>
        </w:tc>
      </w:tr>
      <w:tr>
        <w:tc>
          <w:tcPr>
            <w:tcW w:type="dxa" w:w="3024"/>
            <w:vAlign w:val="top"/>
            <w:tcMar>
              <w:top w:w="90" w:type="dxa"/>
              <w:start w:w="110" w:type="dxa"/>
              <w:bottom w:w="90" w:type="dxa"/>
              <w:end w:w="110" w:type="dxa"/>
            </w:tcMar>
          </w:tcPr>
          <w:p>
            <w:pPr>
              <w:spacing w:after="0"/>
            </w:pPr>
            <w:r>
              <w:rPr>
                <w:sz w:val="16"/>
              </w:rPr>
              <w:t>OUTSIDE_DATE_WINDOW</w:t>
            </w:r>
          </w:p>
        </w:tc>
        <w:tc>
          <w:tcPr>
            <w:tcW w:type="dxa" w:w="6336"/>
            <w:vAlign w:val="top"/>
            <w:tcMar>
              <w:top w:w="90" w:type="dxa"/>
              <w:start w:w="110" w:type="dxa"/>
              <w:bottom w:w="90" w:type="dxa"/>
              <w:end w:w="110" w:type="dxa"/>
            </w:tcMar>
          </w:tcPr>
          <w:p>
            <w:pPr>
              <w:spacing w:after="0"/>
            </w:pPr>
            <w:r>
              <w:rPr>
                <w:sz w:val="16"/>
              </w:rPr>
              <w:t>Verified publication date is outside the requested period.</w:t>
            </w:r>
          </w:p>
        </w:tc>
      </w:tr>
      <w:tr>
        <w:tc>
          <w:tcPr>
            <w:tcW w:type="dxa" w:w="3024"/>
            <w:vAlign w:val="top"/>
            <w:tcMar>
              <w:top w:w="90" w:type="dxa"/>
              <w:start w:w="110" w:type="dxa"/>
              <w:bottom w:w="90" w:type="dxa"/>
              <w:end w:w="110" w:type="dxa"/>
            </w:tcMar>
          </w:tcPr>
          <w:p>
            <w:pPr>
              <w:spacing w:after="0"/>
            </w:pPr>
            <w:r>
              <w:rPr>
                <w:sz w:val="16"/>
              </w:rPr>
              <w:t>NOT_LIBYA_RELATED</w:t>
            </w:r>
          </w:p>
        </w:tc>
        <w:tc>
          <w:tcPr>
            <w:tcW w:type="dxa" w:w="6336"/>
            <w:vAlign w:val="top"/>
            <w:tcMar>
              <w:top w:w="90" w:type="dxa"/>
              <w:start w:w="110" w:type="dxa"/>
              <w:bottom w:w="90" w:type="dxa"/>
              <w:end w:w="110" w:type="dxa"/>
            </w:tcMar>
          </w:tcPr>
          <w:p>
            <w:pPr>
              <w:spacing w:after="0"/>
            </w:pPr>
            <w:r>
              <w:rPr>
                <w:sz w:val="16"/>
              </w:rPr>
              <w:t>Article is not substantively about Libya.</w:t>
            </w:r>
          </w:p>
        </w:tc>
      </w:tr>
      <w:tr>
        <w:tc>
          <w:tcPr>
            <w:tcW w:type="dxa" w:w="3024"/>
            <w:vAlign w:val="top"/>
            <w:tcMar>
              <w:top w:w="90" w:type="dxa"/>
              <w:start w:w="110" w:type="dxa"/>
              <w:bottom w:w="90" w:type="dxa"/>
              <w:end w:w="110" w:type="dxa"/>
            </w:tcMar>
          </w:tcPr>
          <w:p>
            <w:pPr>
              <w:spacing w:after="0"/>
            </w:pPr>
            <w:r>
              <w:rPr>
                <w:sz w:val="16"/>
              </w:rPr>
              <w:t>UNAPPROVED_SOURCE</w:t>
            </w:r>
          </w:p>
        </w:tc>
        <w:tc>
          <w:tcPr>
            <w:tcW w:type="dxa" w:w="6336"/>
            <w:vAlign w:val="top"/>
            <w:tcMar>
              <w:top w:w="90" w:type="dxa"/>
              <w:start w:w="110" w:type="dxa"/>
              <w:bottom w:w="90" w:type="dxa"/>
              <w:end w:w="110" w:type="dxa"/>
            </w:tcMar>
          </w:tcPr>
          <w:p>
            <w:pPr>
              <w:spacing w:after="0"/>
            </w:pPr>
            <w:r>
              <w:rPr>
                <w:sz w:val="16"/>
              </w:rPr>
              <w:t>Outlet is outside the current source universe and no exception was authorised.</w:t>
            </w:r>
          </w:p>
        </w:tc>
      </w:tr>
      <w:tr>
        <w:tc>
          <w:tcPr>
            <w:tcW w:type="dxa" w:w="3024"/>
            <w:vAlign w:val="top"/>
            <w:tcMar>
              <w:top w:w="90" w:type="dxa"/>
              <w:start w:w="110" w:type="dxa"/>
              <w:bottom w:w="90" w:type="dxa"/>
              <w:end w:w="110" w:type="dxa"/>
            </w:tcMar>
          </w:tcPr>
          <w:p>
            <w:pPr>
              <w:spacing w:after="0"/>
            </w:pPr>
            <w:r>
              <w:rPr>
                <w:sz w:val="16"/>
              </w:rPr>
              <w:t>HOMEPAGE_OR_CATEGORY</w:t>
            </w:r>
          </w:p>
        </w:tc>
        <w:tc>
          <w:tcPr>
            <w:tcW w:type="dxa" w:w="6336"/>
            <w:vAlign w:val="top"/>
            <w:tcMar>
              <w:top w:w="90" w:type="dxa"/>
              <w:start w:w="110" w:type="dxa"/>
              <w:bottom w:w="90" w:type="dxa"/>
              <w:end w:w="110" w:type="dxa"/>
            </w:tcMar>
          </w:tcPr>
          <w:p>
            <w:pPr>
              <w:spacing w:after="0"/>
            </w:pPr>
            <w:r>
              <w:rPr>
                <w:sz w:val="16"/>
              </w:rPr>
              <w:t>URL is not a direct article page.</w:t>
            </w:r>
          </w:p>
        </w:tc>
      </w:tr>
      <w:tr>
        <w:tc>
          <w:tcPr>
            <w:tcW w:type="dxa" w:w="3024"/>
            <w:vAlign w:val="top"/>
            <w:tcMar>
              <w:top w:w="90" w:type="dxa"/>
              <w:start w:w="110" w:type="dxa"/>
              <w:bottom w:w="90" w:type="dxa"/>
              <w:end w:w="110" w:type="dxa"/>
            </w:tcMar>
          </w:tcPr>
          <w:p>
            <w:pPr>
              <w:spacing w:after="0"/>
            </w:pPr>
            <w:r>
              <w:rPr>
                <w:sz w:val="16"/>
              </w:rPr>
              <w:t>BROKEN_OR_INACCESSIBLE</w:t>
            </w:r>
          </w:p>
        </w:tc>
        <w:tc>
          <w:tcPr>
            <w:tcW w:type="dxa" w:w="6336"/>
            <w:vAlign w:val="top"/>
            <w:tcMar>
              <w:top w:w="90" w:type="dxa"/>
              <w:start w:w="110" w:type="dxa"/>
              <w:bottom w:w="90" w:type="dxa"/>
              <w:end w:w="110" w:type="dxa"/>
            </w:tcMar>
          </w:tcPr>
          <w:p>
            <w:pPr>
              <w:spacing w:after="0"/>
            </w:pPr>
            <w:r>
              <w:rPr>
                <w:sz w:val="16"/>
              </w:rPr>
              <w:t>Article cannot be accessed and insufficient evidence exists.</w:t>
            </w:r>
          </w:p>
        </w:tc>
      </w:tr>
      <w:tr>
        <w:tc>
          <w:tcPr>
            <w:tcW w:type="dxa" w:w="3024"/>
            <w:vAlign w:val="top"/>
            <w:tcMar>
              <w:top w:w="90" w:type="dxa"/>
              <w:start w:w="110" w:type="dxa"/>
              <w:bottom w:w="90" w:type="dxa"/>
              <w:end w:w="110" w:type="dxa"/>
            </w:tcMar>
          </w:tcPr>
          <w:p>
            <w:pPr>
              <w:spacing w:after="0"/>
            </w:pPr>
            <w:r>
              <w:rPr>
                <w:sz w:val="16"/>
              </w:rPr>
              <w:t>UNVERIFIABLE_DATE</w:t>
            </w:r>
          </w:p>
        </w:tc>
        <w:tc>
          <w:tcPr>
            <w:tcW w:type="dxa" w:w="6336"/>
            <w:vAlign w:val="top"/>
            <w:tcMar>
              <w:top w:w="90" w:type="dxa"/>
              <w:start w:w="110" w:type="dxa"/>
              <w:bottom w:w="90" w:type="dxa"/>
              <w:end w:w="110" w:type="dxa"/>
            </w:tcMar>
          </w:tcPr>
          <w:p>
            <w:pPr>
              <w:spacing w:after="0"/>
            </w:pPr>
            <w:r>
              <w:rPr>
                <w:sz w:val="16"/>
              </w:rPr>
              <w:t>Publication date cannot be established.</w:t>
            </w:r>
          </w:p>
        </w:tc>
      </w:tr>
      <w:tr>
        <w:tc>
          <w:tcPr>
            <w:tcW w:type="dxa" w:w="3024"/>
            <w:vAlign w:val="top"/>
            <w:tcMar>
              <w:top w:w="90" w:type="dxa"/>
              <w:start w:w="110" w:type="dxa"/>
              <w:bottom w:w="90" w:type="dxa"/>
              <w:end w:w="110" w:type="dxa"/>
            </w:tcMar>
          </w:tcPr>
          <w:p>
            <w:pPr>
              <w:spacing w:after="0"/>
            </w:pPr>
            <w:r>
              <w:rPr>
                <w:sz w:val="16"/>
              </w:rPr>
              <w:t>TITLE_URL_MISMATCH</w:t>
            </w:r>
          </w:p>
        </w:tc>
        <w:tc>
          <w:tcPr>
            <w:tcW w:type="dxa" w:w="6336"/>
            <w:vAlign w:val="top"/>
            <w:tcMar>
              <w:top w:w="90" w:type="dxa"/>
              <w:start w:w="110" w:type="dxa"/>
              <w:bottom w:w="90" w:type="dxa"/>
              <w:end w:w="110" w:type="dxa"/>
            </w:tcMar>
          </w:tcPr>
          <w:p>
            <w:pPr>
              <w:spacing w:after="0"/>
            </w:pPr>
            <w:r>
              <w:rPr>
                <w:sz w:val="16"/>
              </w:rPr>
              <w:t>URL content does not match the supplied source/headline.</w:t>
            </w:r>
          </w:p>
        </w:tc>
      </w:tr>
      <w:tr>
        <w:tc>
          <w:tcPr>
            <w:tcW w:type="dxa" w:w="3024"/>
            <w:vAlign w:val="top"/>
            <w:tcMar>
              <w:top w:w="90" w:type="dxa"/>
              <w:start w:w="110" w:type="dxa"/>
              <w:bottom w:w="90" w:type="dxa"/>
              <w:end w:w="110" w:type="dxa"/>
            </w:tcMar>
          </w:tcPr>
          <w:p>
            <w:pPr>
              <w:spacing w:after="0"/>
            </w:pPr>
            <w:r>
              <w:rPr>
                <w:sz w:val="16"/>
              </w:rPr>
              <w:t>EXACT_DUPLICATE</w:t>
            </w:r>
          </w:p>
        </w:tc>
        <w:tc>
          <w:tcPr>
            <w:tcW w:type="dxa" w:w="6336"/>
            <w:vAlign w:val="top"/>
            <w:tcMar>
              <w:top w:w="90" w:type="dxa"/>
              <w:start w:w="110" w:type="dxa"/>
              <w:bottom w:w="90" w:type="dxa"/>
              <w:end w:w="110" w:type="dxa"/>
            </w:tcMar>
          </w:tcPr>
          <w:p>
            <w:pPr>
              <w:spacing w:after="0"/>
            </w:pPr>
            <w:r>
              <w:rPr>
                <w:sz w:val="16"/>
              </w:rPr>
              <w:t>Same article URL/content repeated.</w:t>
            </w:r>
          </w:p>
        </w:tc>
      </w:tr>
      <w:tr>
        <w:tc>
          <w:tcPr>
            <w:tcW w:type="dxa" w:w="3024"/>
            <w:vAlign w:val="top"/>
            <w:tcMar>
              <w:top w:w="90" w:type="dxa"/>
              <w:start w:w="110" w:type="dxa"/>
              <w:bottom w:w="90" w:type="dxa"/>
              <w:end w:w="110" w:type="dxa"/>
            </w:tcMar>
          </w:tcPr>
          <w:p>
            <w:pPr>
              <w:spacing w:after="0"/>
            </w:pPr>
            <w:r>
              <w:rPr>
                <w:sz w:val="16"/>
              </w:rPr>
              <w:t>MERGED_NON_UN_DUPLICATE</w:t>
            </w:r>
          </w:p>
        </w:tc>
        <w:tc>
          <w:tcPr>
            <w:tcW w:type="dxa" w:w="6336"/>
            <w:vAlign w:val="top"/>
            <w:tcMar>
              <w:top w:w="90" w:type="dxa"/>
              <w:start w:w="110" w:type="dxa"/>
              <w:bottom w:w="90" w:type="dxa"/>
              <w:end w:w="110" w:type="dxa"/>
            </w:tcMar>
          </w:tcPr>
          <w:p>
            <w:pPr>
              <w:spacing w:after="0"/>
            </w:pPr>
            <w:r>
              <w:rPr>
                <w:sz w:val="16"/>
              </w:rPr>
              <w:t>Eligible non-UN same-fact/same-framing item represented in another final item.</w:t>
            </w:r>
          </w:p>
        </w:tc>
      </w:tr>
      <w:tr>
        <w:tc>
          <w:tcPr>
            <w:tcW w:type="dxa" w:w="3024"/>
            <w:vAlign w:val="top"/>
            <w:tcMar>
              <w:top w:w="90" w:type="dxa"/>
              <w:start w:w="110" w:type="dxa"/>
              <w:bottom w:w="90" w:type="dxa"/>
              <w:end w:w="110" w:type="dxa"/>
            </w:tcMar>
          </w:tcPr>
          <w:p>
            <w:pPr>
              <w:spacing w:after="0"/>
            </w:pPr>
            <w:r>
              <w:rPr>
                <w:sz w:val="16"/>
              </w:rPr>
              <w:t>OLD_STORY_NO_NEW_DEVELOPMENT</w:t>
            </w:r>
          </w:p>
        </w:tc>
        <w:tc>
          <w:tcPr>
            <w:tcW w:type="dxa" w:w="6336"/>
            <w:vAlign w:val="top"/>
            <w:tcMar>
              <w:top w:w="90" w:type="dxa"/>
              <w:start w:w="110" w:type="dxa"/>
              <w:bottom w:w="90" w:type="dxa"/>
              <w:end w:w="110" w:type="dxa"/>
            </w:tcMar>
          </w:tcPr>
          <w:p>
            <w:pPr>
              <w:spacing w:after="0"/>
            </w:pPr>
            <w:r>
              <w:rPr>
                <w:sz w:val="16"/>
              </w:rPr>
              <w:t>Recycled or updated old story without substantive new coverage.</w:t>
            </w:r>
          </w:p>
        </w:tc>
      </w:tr>
      <w:tr>
        <w:tc>
          <w:tcPr>
            <w:tcW w:type="dxa" w:w="3024"/>
            <w:vAlign w:val="top"/>
            <w:tcMar>
              <w:top w:w="90" w:type="dxa"/>
              <w:start w:w="110" w:type="dxa"/>
              <w:bottom w:w="90" w:type="dxa"/>
              <w:end w:w="110" w:type="dxa"/>
            </w:tcMar>
          </w:tcPr>
          <w:p>
            <w:pPr>
              <w:spacing w:after="0"/>
            </w:pPr>
            <w:r>
              <w:rPr>
                <w:sz w:val="16"/>
              </w:rPr>
              <w:t>RAW_SOCIAL_POST</w:t>
            </w:r>
          </w:p>
        </w:tc>
        <w:tc>
          <w:tcPr>
            <w:tcW w:type="dxa" w:w="6336"/>
            <w:vAlign w:val="top"/>
            <w:tcMar>
              <w:top w:w="90" w:type="dxa"/>
              <w:start w:w="110" w:type="dxa"/>
              <w:bottom w:w="90" w:type="dxa"/>
              <w:end w:w="110" w:type="dxa"/>
            </w:tcMar>
          </w:tcPr>
          <w:p>
            <w:pPr>
              <w:spacing w:after="0"/>
            </w:pPr>
            <w:r>
              <w:rPr>
                <w:sz w:val="16"/>
              </w:rPr>
              <w:t>Not an article and social monitoring was not requested.</w:t>
            </w:r>
          </w:p>
        </w:tc>
      </w:tr>
      <w:tr>
        <w:tc>
          <w:tcPr>
            <w:tcW w:type="dxa" w:w="3024"/>
            <w:vAlign w:val="top"/>
            <w:tcMar>
              <w:top w:w="90" w:type="dxa"/>
              <w:start w:w="110" w:type="dxa"/>
              <w:bottom w:w="90" w:type="dxa"/>
              <w:end w:w="110" w:type="dxa"/>
            </w:tcMar>
          </w:tcPr>
          <w:p>
            <w:pPr>
              <w:spacing w:after="0"/>
            </w:pPr>
            <w:r>
              <w:rPr>
                <w:sz w:val="16"/>
              </w:rPr>
              <w:t>LOW_VALUE_ROUTINE_ITEM</w:t>
            </w:r>
          </w:p>
        </w:tc>
        <w:tc>
          <w:tcPr>
            <w:tcW w:type="dxa" w:w="6336"/>
            <w:vAlign w:val="top"/>
            <w:tcMar>
              <w:top w:w="90" w:type="dxa"/>
              <w:start w:w="110" w:type="dxa"/>
              <w:bottom w:w="90" w:type="dxa"/>
              <w:end w:w="110" w:type="dxa"/>
            </w:tcMar>
          </w:tcPr>
          <w:p>
            <w:pPr>
              <w:spacing w:after="0"/>
            </w:pPr>
            <w:r>
              <w:rPr>
                <w:sz w:val="16"/>
              </w:rPr>
              <w:t>Routine item excluded under explicit editorial criteria; must include a specific justification.</w:t>
            </w:r>
          </w:p>
        </w:tc>
      </w:tr>
      <w:tr>
        <w:tc>
          <w:tcPr>
            <w:tcW w:type="dxa" w:w="3024"/>
            <w:vAlign w:val="top"/>
            <w:tcMar>
              <w:top w:w="90" w:type="dxa"/>
              <w:start w:w="110" w:type="dxa"/>
              <w:bottom w:w="90" w:type="dxa"/>
              <w:end w:w="110" w:type="dxa"/>
            </w:tcMar>
          </w:tcPr>
          <w:p>
            <w:pPr>
              <w:spacing w:after="0"/>
            </w:pPr>
            <w:r>
              <w:rPr>
                <w:sz w:val="16"/>
              </w:rPr>
              <w:t>UNSUPPORTED_OR_INVENTED</w:t>
            </w:r>
          </w:p>
        </w:tc>
        <w:tc>
          <w:tcPr>
            <w:tcW w:type="dxa" w:w="6336"/>
            <w:vAlign w:val="top"/>
            <w:tcMar>
              <w:top w:w="90" w:type="dxa"/>
              <w:start w:w="110" w:type="dxa"/>
              <w:bottom w:w="90" w:type="dxa"/>
              <w:end w:w="110" w:type="dxa"/>
            </w:tcMar>
          </w:tcPr>
          <w:p>
            <w:pPr>
              <w:spacing w:after="0"/>
            </w:pPr>
            <w:r>
              <w:rPr>
                <w:sz w:val="16"/>
              </w:rPr>
              <w:t>Headline or summary cannot be supported by the article.</w:t>
            </w:r>
          </w:p>
        </w:tc>
      </w:tr>
      <w:tr>
        <w:tc>
          <w:tcPr>
            <w:tcW w:type="dxa" w:w="3024"/>
            <w:vAlign w:val="top"/>
            <w:tcMar>
              <w:top w:w="90" w:type="dxa"/>
              <w:start w:w="110" w:type="dxa"/>
              <w:bottom w:w="90" w:type="dxa"/>
              <w:end w:w="110" w:type="dxa"/>
            </w:tcMar>
          </w:tcPr>
          <w:p>
            <w:pPr>
              <w:spacing w:after="0"/>
            </w:pPr>
            <w:r>
              <w:rPr>
                <w:sz w:val="16"/>
              </w:rPr>
              <w:t>OTHER_DOCUMENTED_EXCEPTION</w:t>
            </w:r>
          </w:p>
        </w:tc>
        <w:tc>
          <w:tcPr>
            <w:tcW w:type="dxa" w:w="6336"/>
            <w:vAlign w:val="top"/>
            <w:tcMar>
              <w:top w:w="90" w:type="dxa"/>
              <w:start w:w="110" w:type="dxa"/>
              <w:bottom w:w="90" w:type="dxa"/>
              <w:end w:w="110" w:type="dxa"/>
            </w:tcMar>
          </w:tcPr>
          <w:p>
            <w:pPr>
              <w:spacing w:after="0"/>
            </w:pPr>
            <w:r>
              <w:rPr>
                <w:sz w:val="16"/>
              </w:rPr>
              <w:t>Use only with a detailed note and reviewer justification.</w:t>
            </w:r>
          </w:p>
        </w:tc>
      </w:tr>
    </w:tbl>
    <w:tbl>
      <w:tblPr>
        <w:tblStyle w:val="TableGrid"/>
        <w:tblW w:type="auto" w:w="0"/>
        <w:jc w:val="center"/>
        <w:tblLook w:firstColumn="1" w:firstRow="1" w:lastColumn="0" w:lastRow="0" w:noHBand="0" w:noVBand="1" w:val="04A0"/>
      </w:tblPr>
      <w:tblGrid>
        <w:gridCol w:w="9994"/>
      </w:tblGrid>
      <w:tr>
        <w:tc>
          <w:tcPr>
            <w:tcW w:type="dxa" w:w="9994"/>
            <w:shd w:fill="FFF2CC"/>
            <w:tcMar>
              <w:top w:w="120" w:type="dxa"/>
              <w:start w:w="140" w:type="dxa"/>
              <w:bottom w:w="120" w:type="dxa"/>
              <w:end w:w="140" w:type="dxa"/>
            </w:tcMar>
          </w:tcPr>
          <w:p>
            <w:pPr>
              <w:spacing w:after="80"/>
            </w:pPr>
            <w:r>
              <w:rPr>
                <w:b/>
                <w:sz w:val="22"/>
              </w:rPr>
              <w:t>UN safeguard</w:t>
            </w:r>
          </w:p>
          <w:p>
            <w:pPr>
              <w:spacing w:after="0"/>
            </w:pPr>
            <w:r>
              <w:t>UN-related records must not be assigned LOW_VALUE_ROUTINE_ITEM or MERGED_NON_UN_DUPLICATE. Any UN exclusion requires a documented exact-duplicate, date, relevance, source or verification reason.</w:t>
            </w:r>
          </w:p>
        </w:tc>
      </w:tr>
    </w:tbl>
    <w:p>
      <w:pPr>
        <w:pStyle w:val="Heading1"/>
        <w:keepNext/>
      </w:pPr>
      <w:r>
        <w:rPr>
          <w:rFonts w:ascii="Calibri" w:hAnsi="Calibri"/>
        </w:rPr>
        <w:t>33. Recovery, exception and escalation rules</w:t>
      </w:r>
    </w:p>
    <w:p>
      <w:pPr>
        <w:pStyle w:val="ListBullet"/>
      </w:pPr>
      <w:r>
        <w:rPr>
          <w:rFonts w:ascii="Calibri" w:hAnsi="Calibri"/>
        </w:rPr>
        <w:t>When an article is inaccessible, search for an official mirror, archived outlet page or authoritative corroboration, but preserve the original record and evidence trail.</w:t>
      </w:r>
    </w:p>
    <w:p>
      <w:pPr>
        <w:pStyle w:val="ListBullet"/>
      </w:pPr>
      <w:r>
        <w:rPr>
          <w:rFonts w:ascii="Calibri" w:hAnsi="Calibri"/>
        </w:rPr>
        <w:t>When sources conflict on a figure, do not invent a compromise. Keep separate items or use the most authoritative verified figure with a note in the audit file.</w:t>
      </w:r>
    </w:p>
    <w:p>
      <w:pPr>
        <w:pStyle w:val="ListBullet"/>
      </w:pPr>
      <w:r>
        <w:rPr>
          <w:rFonts w:ascii="Calibri" w:hAnsi="Calibri"/>
        </w:rPr>
        <w:t>When a person’s role is uncertain, omit the bracketed role until verified rather than guessing.</w:t>
      </w:r>
    </w:p>
    <w:p>
      <w:pPr>
        <w:pStyle w:val="ListBullet"/>
      </w:pPr>
      <w:r>
        <w:rPr>
          <w:rFonts w:ascii="Calibri" w:hAnsi="Calibri"/>
        </w:rPr>
        <w:t>When the approved-source status is unclear, apply the current source-universe file and flag the record for review; do not rely on an older Annex by default.</w:t>
      </w:r>
    </w:p>
    <w:p>
      <w:pPr>
        <w:pStyle w:val="ListBullet"/>
      </w:pPr>
      <w:r>
        <w:rPr>
          <w:rFonts w:ascii="Calibri" w:hAnsi="Calibri"/>
        </w:rPr>
        <w:t>When the document validator and rendered output disagree, treat the rendered pages as the visual source of truth and repair the DOCX.</w:t>
      </w:r>
    </w:p>
    <w:p>
      <w:pPr>
        <w:pStyle w:val="ListBullet"/>
      </w:pPr>
      <w:r>
        <w:rPr>
          <w:rFonts w:ascii="Calibri" w:hAnsi="Calibri"/>
        </w:rPr>
        <w:t>When a user correction reveals a missed item, update the verification logic and regression tests so the same failure cannot recur.</w:t>
      </w:r>
    </w:p>
    <w:p>
      <w:pPr>
        <w:pStyle w:val="ListBullet"/>
      </w:pPr>
      <w:r>
        <w:rPr>
          <w:rFonts w:ascii="Calibri" w:hAnsi="Calibri"/>
        </w:rPr>
        <w:t>When a task cannot meet a hard gate, report the exact unresolved records and do not present the report as final.</w:t>
      </w:r>
    </w:p>
    <w:p>
      <w:pPr>
        <w:pStyle w:val="Heading1"/>
        <w:keepNext/>
      </w:pPr>
      <w:r>
        <w:rPr>
          <w:rFonts w:ascii="Calibri" w:hAnsi="Calibri"/>
        </w:rPr>
        <w:t>Appendix C. Machine-readable status values</w:t>
      </w:r>
    </w:p>
    <w:tbl>
      <w:tblPr>
        <w:tblStyle w:val="TableGrid"/>
        <w:tblW w:type="auto" w:w="0"/>
        <w:jc w:val="center"/>
        <w:tblLook w:firstColumn="1" w:firstRow="1" w:lastColumn="0" w:lastRow="0" w:noHBand="0" w:noVBand="1" w:val="04A0"/>
      </w:tblPr>
      <w:tblGrid>
        <w:gridCol w:w="9994"/>
      </w:tblGrid>
      <w:tr>
        <w:tc>
          <w:tcPr>
            <w:tcW w:type="dxa" w:w="9994"/>
            <w:shd w:fill="F3F3F3"/>
            <w:tcMar>
              <w:top w:w="110" w:type="dxa"/>
              <w:start w:w="130" w:type="dxa"/>
              <w:bottom w:w="110" w:type="dxa"/>
              <w:end w:w="130" w:type="dxa"/>
            </w:tcMar>
          </w:tcPr>
          <w:p>
            <w:pPr>
              <w:spacing w:after="0"/>
            </w:pPr>
            <w:r>
              <w:rPr>
                <w:rFonts w:ascii="Consolas" w:hAnsi="Consolas" w:eastAsia="Consolas"/>
                <w:sz w:val="18"/>
              </w:rPr>
              <w:t>final_decision: INCLUDED | EXCLUDED | MERGED | UNRESOLVED</w:t>
            </w:r>
            <w:r>
              <w:br/>
            </w:r>
            <w:r>
              <w:rPr>
                <w:rFonts w:ascii="Consolas" w:hAnsi="Consolas" w:eastAsia="Consolas"/>
                <w:sz w:val="18"/>
              </w:rPr>
            </w:r>
            <w:r>
              <w:br/>
            </w:r>
            <w:r>
              <w:rPr>
                <w:rFonts w:ascii="Consolas" w:hAnsi="Consolas" w:eastAsia="Consolas"/>
                <w:sz w:val="18"/>
              </w:rPr>
              <w:t>duplicate_category: UN_PROTECTED_SEPARATE | EXACT_DUPLICATE | SYNDICATED_IDENTICAL | SAME_EVENT_SAME_FACT | SAME_EVENT_DIFFERENT_FRAMING | FOLLOW_UP_DEVELOPMENT | COMMENTARY_OR_ANALYSIS | NOT_A_DUPLICATE</w:t>
            </w:r>
            <w:r>
              <w:br/>
            </w:r>
            <w:r>
              <w:rPr>
                <w:rFonts w:ascii="Consolas" w:hAnsi="Consolas" w:eastAsia="Consolas"/>
                <w:sz w:val="18"/>
              </w:rPr>
            </w:r>
            <w:r>
              <w:br/>
            </w:r>
            <w:r>
              <w:rPr>
                <w:rFonts w:ascii="Consolas" w:hAnsi="Consolas" w:eastAsia="Consolas"/>
                <w:sz w:val="18"/>
              </w:rPr>
              <w:t>language: Arabic | English</w:t>
            </w:r>
            <w:r>
              <w:br/>
            </w:r>
            <w:r>
              <w:rPr>
                <w:rFonts w:ascii="Consolas" w:hAnsi="Consolas" w:eastAsia="Consolas"/>
                <w:sz w:val="18"/>
              </w:rPr>
            </w:r>
            <w:r>
              <w:br/>
            </w:r>
            <w:r>
              <w:rPr>
                <w:rFonts w:ascii="Consolas" w:hAnsi="Consolas" w:eastAsia="Consolas"/>
                <w:sz w:val="18"/>
              </w:rPr>
              <w:t>validation_status: PASS | FAIL | MANUAL_REVIEW_REQUIRED</w:t>
            </w:r>
            <w:r>
              <w:br/>
            </w:r>
            <w:r>
              <w:rPr>
                <w:rFonts w:ascii="Consolas" w:hAnsi="Consolas" w:eastAsia="Consolas"/>
                <w:sz w:val="18"/>
              </w:rPr>
            </w:r>
            <w:r>
              <w:br/>
            </w:r>
            <w:r>
              <w:rPr>
                <w:rFonts w:ascii="Consolas" w:hAnsi="Consolas" w:eastAsia="Consolas"/>
                <w:sz w:val="18"/>
              </w:rPr>
              <w:t>visual_qa_status: PASS | FAIL</w:t>
            </w:r>
          </w:p>
        </w:tc>
      </w:tr>
    </w:tbl>
    <w:p>
      <w:pPr>
        <w:pStyle w:val="Heading1"/>
        <w:keepNext/>
      </w:pPr>
      <w:r>
        <w:rPr>
          <w:rFonts w:ascii="Calibri" w:hAnsi="Calibri"/>
        </w:rPr>
        <w:t>Appendix D. Mandatory pre-delivery sign-off</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D9E6EA"/>
            <w:vAlign w:val="center"/>
            <w:tcMar>
              <w:top w:w="90" w:type="dxa"/>
              <w:start w:w="110" w:type="dxa"/>
              <w:bottom w:w="90" w:type="dxa"/>
              <w:end w:w="110" w:type="dxa"/>
            </w:tcMar>
          </w:tcPr>
          <w:p>
            <w:pPr>
              <w:jc w:val="center"/>
            </w:pPr>
            <w:r>
              <w:rPr>
                <w:b/>
                <w:sz w:val="16"/>
              </w:rPr>
              <w:t>Sign-off area</w:t>
            </w:r>
          </w:p>
        </w:tc>
        <w:tc>
          <w:tcPr>
            <w:tcW w:type="dxa" w:w="7128"/>
            <w:shd w:fill="D9E6EA"/>
            <w:vAlign w:val="center"/>
            <w:tcMar>
              <w:top w:w="90" w:type="dxa"/>
              <w:start w:w="110" w:type="dxa"/>
              <w:bottom w:w="90" w:type="dxa"/>
              <w:end w:w="110" w:type="dxa"/>
            </w:tcMar>
          </w:tcPr>
          <w:p>
            <w:pPr>
              <w:jc w:val="center"/>
            </w:pPr>
            <w:r>
              <w:rPr>
                <w:b/>
                <w:sz w:val="16"/>
              </w:rPr>
              <w:t>Required confirmation</w:t>
            </w:r>
          </w:p>
        </w:tc>
      </w:tr>
      <w:tr>
        <w:tc>
          <w:tcPr>
            <w:tcW w:type="dxa" w:w="2232"/>
            <w:vAlign w:val="top"/>
            <w:tcMar>
              <w:top w:w="90" w:type="dxa"/>
              <w:start w:w="110" w:type="dxa"/>
              <w:bottom w:w="90" w:type="dxa"/>
              <w:end w:w="110" w:type="dxa"/>
            </w:tcMar>
          </w:tcPr>
          <w:p>
            <w:pPr>
              <w:spacing w:after="0"/>
            </w:pPr>
            <w:r>
              <w:rPr>
                <w:sz w:val="16"/>
              </w:rPr>
              <w:t>Inventory owner</w:t>
            </w:r>
          </w:p>
        </w:tc>
        <w:tc>
          <w:tcPr>
            <w:tcW w:type="dxa" w:w="7128"/>
            <w:vAlign w:val="top"/>
            <w:tcMar>
              <w:top w:w="90" w:type="dxa"/>
              <w:start w:w="110" w:type="dxa"/>
              <w:bottom w:w="90" w:type="dxa"/>
              <w:end w:w="110" w:type="dxa"/>
            </w:tcMar>
          </w:tcPr>
          <w:p>
            <w:pPr>
              <w:spacing w:after="0"/>
            </w:pPr>
            <w:r>
              <w:rPr>
                <w:sz w:val="16"/>
              </w:rPr>
              <w:t>All input records extracted and uniquely identified.</w:t>
            </w:r>
          </w:p>
        </w:tc>
      </w:tr>
      <w:tr>
        <w:tc>
          <w:tcPr>
            <w:tcW w:type="dxa" w:w="2232"/>
            <w:vAlign w:val="top"/>
            <w:tcMar>
              <w:top w:w="90" w:type="dxa"/>
              <w:start w:w="110" w:type="dxa"/>
              <w:bottom w:w="90" w:type="dxa"/>
              <w:end w:w="110" w:type="dxa"/>
            </w:tcMar>
          </w:tcPr>
          <w:p>
            <w:pPr>
              <w:spacing w:after="0"/>
            </w:pPr>
            <w:r>
              <w:rPr>
                <w:sz w:val="16"/>
              </w:rPr>
              <w:t>Verification owner</w:t>
            </w:r>
          </w:p>
        </w:tc>
        <w:tc>
          <w:tcPr>
            <w:tcW w:type="dxa" w:w="7128"/>
            <w:vAlign w:val="top"/>
            <w:tcMar>
              <w:top w:w="90" w:type="dxa"/>
              <w:start w:w="110" w:type="dxa"/>
              <w:bottom w:w="90" w:type="dxa"/>
              <w:end w:w="110" w:type="dxa"/>
            </w:tcMar>
          </w:tcPr>
          <w:p>
            <w:pPr>
              <w:spacing w:after="0"/>
            </w:pPr>
            <w:r>
              <w:rPr>
                <w:sz w:val="16"/>
              </w:rPr>
              <w:t>All direct URLs, dates and article content verified or defensibly excluded.</w:t>
            </w:r>
          </w:p>
        </w:tc>
      </w:tr>
      <w:tr>
        <w:tc>
          <w:tcPr>
            <w:tcW w:type="dxa" w:w="2232"/>
            <w:vAlign w:val="top"/>
            <w:tcMar>
              <w:top w:w="90" w:type="dxa"/>
              <w:start w:w="110" w:type="dxa"/>
              <w:bottom w:w="90" w:type="dxa"/>
              <w:end w:w="110" w:type="dxa"/>
            </w:tcMar>
          </w:tcPr>
          <w:p>
            <w:pPr>
              <w:spacing w:after="0"/>
            </w:pPr>
            <w:r>
              <w:rPr>
                <w:sz w:val="16"/>
              </w:rPr>
              <w:t>UN owner</w:t>
            </w:r>
          </w:p>
        </w:tc>
        <w:tc>
          <w:tcPr>
            <w:tcW w:type="dxa" w:w="7128"/>
            <w:vAlign w:val="top"/>
            <w:tcMar>
              <w:top w:w="90" w:type="dxa"/>
              <w:start w:w="110" w:type="dxa"/>
              <w:bottom w:w="90" w:type="dxa"/>
              <w:end w:w="110" w:type="dxa"/>
            </w:tcMar>
          </w:tcPr>
          <w:p>
            <w:pPr>
              <w:spacing w:after="0"/>
            </w:pPr>
            <w:r>
              <w:rPr>
                <w:sz w:val="16"/>
              </w:rPr>
              <w:t>Protected UN inventory reconciles with final separate bullets.</w:t>
            </w:r>
          </w:p>
        </w:tc>
      </w:tr>
      <w:tr>
        <w:tc>
          <w:tcPr>
            <w:tcW w:type="dxa" w:w="2232"/>
            <w:vAlign w:val="top"/>
            <w:tcMar>
              <w:top w:w="90" w:type="dxa"/>
              <w:start w:w="110" w:type="dxa"/>
              <w:bottom w:w="90" w:type="dxa"/>
              <w:end w:w="110" w:type="dxa"/>
            </w:tcMar>
          </w:tcPr>
          <w:p>
            <w:pPr>
              <w:spacing w:after="0"/>
            </w:pPr>
            <w:r>
              <w:rPr>
                <w:sz w:val="16"/>
              </w:rPr>
              <w:t>Editorial owner</w:t>
            </w:r>
          </w:p>
        </w:tc>
        <w:tc>
          <w:tcPr>
            <w:tcW w:type="dxa" w:w="7128"/>
            <w:vAlign w:val="top"/>
            <w:tcMar>
              <w:top w:w="90" w:type="dxa"/>
              <w:start w:w="110" w:type="dxa"/>
              <w:bottom w:w="90" w:type="dxa"/>
              <w:end w:w="110" w:type="dxa"/>
            </w:tcMar>
          </w:tcPr>
          <w:p>
            <w:pPr>
              <w:spacing w:after="0"/>
            </w:pPr>
            <w:r>
              <w:rPr>
                <w:sz w:val="16"/>
              </w:rPr>
              <w:t>Headlines, roles, sections, subsections and duplicate decisions reviewed.</w:t>
            </w:r>
          </w:p>
        </w:tc>
      </w:tr>
      <w:tr>
        <w:tc>
          <w:tcPr>
            <w:tcW w:type="dxa" w:w="2232"/>
            <w:vAlign w:val="top"/>
            <w:tcMar>
              <w:top w:w="90" w:type="dxa"/>
              <w:start w:w="110" w:type="dxa"/>
              <w:bottom w:w="90" w:type="dxa"/>
              <w:end w:w="110" w:type="dxa"/>
            </w:tcMar>
          </w:tcPr>
          <w:p>
            <w:pPr>
              <w:spacing w:after="0"/>
            </w:pPr>
            <w:r>
              <w:rPr>
                <w:sz w:val="16"/>
              </w:rPr>
              <w:t>Document owner</w:t>
            </w:r>
          </w:p>
        </w:tc>
        <w:tc>
          <w:tcPr>
            <w:tcW w:type="dxa" w:w="7128"/>
            <w:vAlign w:val="top"/>
            <w:tcMar>
              <w:top w:w="90" w:type="dxa"/>
              <w:start w:w="110" w:type="dxa"/>
              <w:bottom w:w="90" w:type="dxa"/>
              <w:end w:w="110" w:type="dxa"/>
            </w:tcMar>
          </w:tcPr>
          <w:p>
            <w:pPr>
              <w:spacing w:after="0"/>
            </w:pPr>
            <w:r>
              <w:rPr>
                <w:sz w:val="16"/>
              </w:rPr>
              <w:t>Hyperlinks, fonts, margins, bullets, title and disclaimer validated.</w:t>
            </w:r>
          </w:p>
        </w:tc>
      </w:tr>
      <w:tr>
        <w:tc>
          <w:tcPr>
            <w:tcW w:type="dxa" w:w="2232"/>
            <w:vAlign w:val="top"/>
            <w:tcMar>
              <w:top w:w="90" w:type="dxa"/>
              <w:start w:w="110" w:type="dxa"/>
              <w:bottom w:w="90" w:type="dxa"/>
              <w:end w:w="110" w:type="dxa"/>
            </w:tcMar>
          </w:tcPr>
          <w:p>
            <w:pPr>
              <w:spacing w:after="0"/>
            </w:pPr>
            <w:r>
              <w:rPr>
                <w:sz w:val="16"/>
              </w:rPr>
              <w:t>QA owner</w:t>
            </w:r>
          </w:p>
        </w:tc>
        <w:tc>
          <w:tcPr>
            <w:tcW w:type="dxa" w:w="7128"/>
            <w:vAlign w:val="top"/>
            <w:tcMar>
              <w:top w:w="90" w:type="dxa"/>
              <w:start w:w="110" w:type="dxa"/>
              <w:bottom w:w="90" w:type="dxa"/>
              <w:end w:w="110" w:type="dxa"/>
            </w:tcMar>
          </w:tcPr>
          <w:p>
            <w:pPr>
              <w:spacing w:after="0"/>
            </w:pPr>
            <w:r>
              <w:rPr>
                <w:sz w:val="16"/>
              </w:rPr>
              <w:t>All automated tests passed and every rendered page inspected.</w:t>
            </w:r>
          </w:p>
        </w:tc>
      </w:tr>
      <w:tr>
        <w:tc>
          <w:tcPr>
            <w:tcW w:type="dxa" w:w="2232"/>
            <w:vAlign w:val="top"/>
            <w:tcMar>
              <w:top w:w="90" w:type="dxa"/>
              <w:start w:w="110" w:type="dxa"/>
              <w:bottom w:w="90" w:type="dxa"/>
              <w:end w:w="110" w:type="dxa"/>
            </w:tcMar>
          </w:tcPr>
          <w:p>
            <w:pPr>
              <w:spacing w:after="0"/>
            </w:pPr>
            <w:r>
              <w:rPr>
                <w:sz w:val="16"/>
              </w:rPr>
              <w:t>Final status</w:t>
            </w:r>
          </w:p>
        </w:tc>
        <w:tc>
          <w:tcPr>
            <w:tcW w:type="dxa" w:w="7128"/>
            <w:vAlign w:val="top"/>
            <w:tcMar>
              <w:top w:w="90" w:type="dxa"/>
              <w:start w:w="110" w:type="dxa"/>
              <w:bottom w:w="90" w:type="dxa"/>
              <w:end w:w="110" w:type="dxa"/>
            </w:tcMar>
          </w:tcPr>
          <w:p>
            <w:pPr>
              <w:spacing w:after="0"/>
            </w:pPr>
            <w:r>
              <w:rPr>
                <w:sz w:val="16"/>
              </w:rPr>
              <w:t>READY FOR DELIVERY only when every row above is complete.</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6"/>
      </w:rPr>
      <w:t>PICS Libya News Headlines Master SOP — Codex Operational Edition v2.0</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46464"/>
        <w:sz w:val="14"/>
      </w:rPr>
      <w:t>PICS Libya News Headlines — Master Editorial, Verification and Codex Operational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F4761"/>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F4761"/>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2441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476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
    <w:name w:val="Rule"/>
    <w:pPr>
      <w:spacing w:after="80"/>
      <w:ind w:left="216"/>
    </w:pPr>
    <w:rPr>
      <w:rFonts w:ascii="Calibri" w:hAnsi="Calibri"/>
      <w:sz w:val="21"/>
    </w:rPr>
  </w:style>
  <w:style w:type="paragraph" w:customStyle="1" w:styleId="Example">
    <w:name w:val="Example"/>
    <w:pPr>
      <w:spacing w:after="80"/>
      <w:ind w:left="317" w:right="216"/>
    </w:pPr>
    <w:rPr>
      <w:rFonts w:ascii="Calibri" w:hAnsi="Calibri"/>
      <w:color w:val="37414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PICS Libya News Headlines Master SOP — Codex Operational Edition</dc:title>
  <dc:subject>Editorial, verification, automation and QA standard for Codex-generated PICS reports</dc:subject>
  <dc:creator>PICS project working reference</dc:creator>
  <cp:keywords>PICS, UNSMIL, Libya, headlines, Codex, SOP, verification, QA</cp:keywords>
  <dc:description>generated by python-docx</dc:description>
  <cp:lastModifiedBy/>
  <cp:revision>1</cp:revision>
  <dcterms:created xsi:type="dcterms:W3CDTF">2013-12-23T23:15:00Z</dcterms:created>
  <dcterms:modified xsi:type="dcterms:W3CDTF">2013-12-23T23:15:00Z</dcterms:modified>
  <cp:category/>
</cp:coreProperties>
</file>