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Libya News Headlines - 2026-06-09 to 2026-06-10</w:t>
      </w:r>
    </w:p>
    <w:p>
      <w:pPr>
        <w:jc w:val="center"/>
      </w:pPr>
      <w:r>
        <w:rPr>
          <w:rFonts w:ascii="Arial" w:hAnsi="Arial"/>
          <w:color w:val="595959"/>
          <w:sz w:val="24"/>
        </w:rPr>
        <w:t>UNSMIL/PICS Media Monitoring</w:t>
      </w:r>
    </w:p>
    <w:p>
      <w:pPr>
        <w:pStyle w:val="Heading1"/>
      </w:pPr>
      <w:r>
        <w:t>United Nations</w:t>
      </w:r>
    </w:p>
    <w:p>
      <w:pPr>
        <w:pStyle w:val="Heading2"/>
      </w:pPr>
      <w:r>
        <w:t>Other UN News</w:t>
      </w:r>
    </w:p>
    <w:p>
      <w:pPr>
        <w:pStyle w:val="ListBullet"/>
        <w:spacing w:after="100"/>
      </w:pPr>
      <w:r>
        <w:t>Tetteh briefs African Peace and Security Council on Libya developments</w:t>
      </w:r>
      <w:r>
        <w:t xml:space="preserve"> - </w:t>
      </w:r>
      <w:hyperlink r:id="rId9">
        <w:r>
          <w:rPr>
            <w:color w:val="1F4E79"/>
            <w:u w:val="single"/>
          </w:rPr>
          <w:t>Ean Libya (Arabic)</w:t>
        </w:r>
      </w:hyperlink>
    </w:p>
    <w:p>
      <w:pPr>
        <w:pStyle w:val="ListBullet"/>
        <w:spacing w:after="100"/>
      </w:pPr>
      <w:r>
        <w:t>Central Bank warns of potential salary budget shortfall in 2026</w:t>
      </w:r>
      <w:r>
        <w:t xml:space="preserve"> - </w:t>
      </w:r>
      <w:hyperlink r:id="rId10">
        <w:r>
          <w:rPr>
            <w:color w:val="1F4E79"/>
            <w:u w:val="single"/>
          </w:rPr>
          <w:t>Ean Libya (Arabic)</w:t>
        </w:r>
      </w:hyperlink>
      <w:r>
        <w:t xml:space="preserve">; </w:t>
      </w:r>
      <w:hyperlink r:id="rId11">
        <w:r>
          <w:rPr>
            <w:color w:val="1F4E79"/>
            <w:u w:val="single"/>
          </w:rPr>
          <w:t>Libya Al Ahrar (Arabic)</w:t>
        </w:r>
      </w:hyperlink>
      <w:r>
        <w:t xml:space="preserve">; </w:t>
      </w:r>
      <w:hyperlink r:id="rId12">
        <w:r>
          <w:rPr>
            <w:color w:val="1F4E79"/>
            <w:u w:val="single"/>
          </w:rPr>
          <w:t>Libya Observer</w:t>
        </w:r>
      </w:hyperlink>
    </w:p>
    <w:p>
      <w:pPr>
        <w:pStyle w:val="Heading1"/>
      </w:pPr>
      <w:r>
        <w:t>Human Rights &amp; Rule of Law</w:t>
      </w:r>
    </w:p>
    <w:p>
      <w:pPr>
        <w:pStyle w:val="Heading2"/>
      </w:pPr>
      <w:r>
        <w:t>Accountability</w:t>
      </w:r>
    </w:p>
    <w:p>
      <w:pPr>
        <w:pStyle w:val="ListBullet"/>
        <w:spacing w:after="100"/>
      </w:pPr>
      <w:r>
        <w:t>Central Bank discusses liquidity pressures and public finance stability</w:t>
      </w:r>
      <w:r>
        <w:t xml:space="preserve"> - </w:t>
      </w:r>
      <w:hyperlink r:id="rId13">
        <w:r>
          <w:rPr>
            <w:color w:val="1F4E79"/>
            <w:u w:val="single"/>
          </w:rPr>
          <w:t>Al Wasat (Arabic)</w:t>
        </w:r>
      </w:hyperlink>
    </w:p>
    <w:p>
      <w:pPr>
        <w:pStyle w:val="Heading1"/>
      </w:pPr>
      <w:r>
        <w:t>Migration</w:t>
      </w:r>
    </w:p>
    <w:p>
      <w:pPr>
        <w:pStyle w:val="Heading2"/>
      </w:pPr>
      <w:r>
        <w:t>Migration Policy</w:t>
      </w:r>
    </w:p>
    <w:p>
      <w:pPr>
        <w:pStyle w:val="ListBullet"/>
        <w:spacing w:after="100"/>
      </w:pPr>
      <w:r>
        <w:t>Libyan officials reject migrant settlement proposals amid national security concerns</w:t>
      </w:r>
      <w:r>
        <w:t xml:space="preserve"> - </w:t>
      </w:r>
      <w:hyperlink r:id="rId14">
        <w:r>
          <w:rPr>
            <w:color w:val="1F4E79"/>
            <w:u w:val="single"/>
          </w:rPr>
          <w:t>Ean Libya (Arabic)</w:t>
        </w:r>
      </w:hyperlink>
    </w:p>
    <w:p>
      <w:pPr>
        <w:pStyle w:val="Heading1"/>
      </w:pPr>
      <w:r>
        <w:t>Economy &amp; Energy</w:t>
      </w:r>
    </w:p>
    <w:p>
      <w:pPr>
        <w:pStyle w:val="Heading2"/>
      </w:pPr>
      <w:r>
        <w:t>Banking &amp; Finance</w:t>
      </w:r>
    </w:p>
    <w:p>
      <w:pPr>
        <w:pStyle w:val="ListBullet"/>
        <w:spacing w:after="100"/>
      </w:pPr>
      <w:r>
        <w:t>Brega announces gas distribution plan for Jalu, Kufra and Benghazi</w:t>
      </w:r>
      <w:r>
        <w:t xml:space="preserve"> - </w:t>
      </w:r>
      <w:hyperlink r:id="rId15">
        <w:r>
          <w:rPr>
            <w:color w:val="1F4E79"/>
            <w:u w:val="single"/>
          </w:rPr>
          <w:t>Al Wasat (Arabic)</w:t>
        </w:r>
      </w:hyperlink>
      <w:r>
        <w:t xml:space="preserve">; </w:t>
      </w:r>
      <w:hyperlink r:id="rId16">
        <w:r>
          <w:rPr>
            <w:color w:val="1F4E79"/>
            <w:u w:val="single"/>
          </w:rPr>
          <w:t>Ean Libya (Arabic)</w:t>
        </w:r>
      </w:hyperlink>
    </w:p>
    <w:p>
      <w:pPr>
        <w:pStyle w:val="Heading1"/>
      </w:pPr>
      <w:r>
        <w:t>Governance &amp; Public Services</w:t>
      </w:r>
    </w:p>
    <w:p>
      <w:pPr>
        <w:pStyle w:val="Heading2"/>
      </w:pPr>
      <w:r>
        <w:t>Public Administration</w:t>
      </w:r>
    </w:p>
    <w:p>
      <w:pPr>
        <w:pStyle w:val="ListBullet"/>
        <w:spacing w:after="100"/>
      </w:pPr>
      <w:r>
        <w:t>Government bodies address public administration and service-delivery priorities</w:t>
      </w:r>
      <w:r>
        <w:t xml:space="preserve"> - </w:t>
      </w:r>
      <w:hyperlink r:id="rId17">
        <w:r>
          <w:rPr>
            <w:color w:val="1F4E79"/>
            <w:u w:val="single"/>
          </w:rPr>
          <w:t>Al Wasat (Arabic)</w:t>
        </w:r>
      </w:hyperlink>
    </w:p>
    <w:p>
      <w:pPr>
        <w:pStyle w:val="Heading1"/>
      </w:pPr>
      <w:r>
        <w:t>Regional &amp; International</w:t>
      </w:r>
    </w:p>
    <w:p>
      <w:pPr>
        <w:pStyle w:val="Heading2"/>
      </w:pPr>
      <w:r>
        <w:t>Regional Diplomacy</w:t>
      </w:r>
    </w:p>
    <w:p>
      <w:pPr>
        <w:pStyle w:val="ListBullet"/>
        <w:spacing w:after="100"/>
      </w:pPr>
      <w:r>
        <w:t>Libya participates in Arab election forum in Tunisia</w:t>
      </w:r>
      <w:r>
        <w:t xml:space="preserve"> - </w:t>
      </w:r>
      <w:hyperlink r:id="rId18">
        <w:r>
          <w:rPr>
            <w:color w:val="1F4E79"/>
            <w:u w:val="single"/>
          </w:rPr>
          <w:t>Ean Libya (Arabic)</w:t>
        </w:r>
      </w:hyperlink>
    </w:p>
    <w:p>
      <w:pPr>
        <w:pStyle w:val="ListBullet"/>
        <w:spacing w:after="100"/>
      </w:pPr>
      <w:r>
        <w:t>Zadma and French ambassador discuss Fezzan-France ties and Libya political developments</w:t>
      </w:r>
      <w:r>
        <w:t xml:space="preserve"> - </w:t>
      </w:r>
      <w:hyperlink r:id="rId19">
        <w:r>
          <w:rPr>
            <w:color w:val="1F4E79"/>
            <w:u w:val="single"/>
          </w:rPr>
          <w:t>Al Wasat (Arabic)</w:t>
        </w:r>
      </w:hyperlink>
    </w:p>
    <w:p>
      <w:pPr>
        <w:pStyle w:val="ListBullet"/>
        <w:spacing w:after="100"/>
      </w:pPr>
      <w:r>
        <w:t>Libya and Uganda discuss expanding bilateral economic cooperation</w:t>
      </w:r>
      <w:r>
        <w:t xml:space="preserve"> - </w:t>
      </w:r>
      <w:hyperlink r:id="rId20">
        <w:r>
          <w:rPr>
            <w:color w:val="1F4E79"/>
            <w:u w:val="single"/>
          </w:rPr>
          <w:t>Ean Libya (Arabic)</w:t>
        </w:r>
      </w:hyperlink>
    </w:p>
    <w:p>
      <w:pPr>
        <w:pStyle w:val="ListBullet"/>
        <w:spacing w:after="100"/>
      </w:pPr>
      <w:r>
        <w:t>Libyan officials pursue foreign cooperation linked to stability and economic interests</w:t>
      </w:r>
      <w:r>
        <w:t xml:space="preserve"> - </w:t>
      </w:r>
      <w:hyperlink r:id="rId21">
        <w:r>
          <w:rPr>
            <w:color w:val="1F4E79"/>
            <w:u w:val="single"/>
          </w:rPr>
          <w:t>Al Wasat (Arabic)</w:t>
        </w:r>
      </w:hyperlink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anlibya.com/%d8%aa%d9%8a%d8%aa%d9%8a%d9%87-%d9%86%d9%88%d8%a7%d8%b5%d9%84-%d8%a7%d9%84%d8%af%d9%81%d8%b9-%d8%a8%d9%80%d8%ae%d8%a7%d8%b1%d8%b7%d8%a9-%d8%a7%d9%84%d8%b7%d8%b1%d9%8a%d9%82-%d9%81%d9%8a/" TargetMode="External"/><Relationship Id="rId10" Type="http://schemas.openxmlformats.org/officeDocument/2006/relationships/hyperlink" Target="https://libyaobserver.ly/news/afriqiyah-airways-denies-suspension-returns-aircraft-service" TargetMode="External"/><Relationship Id="rId11" Type="http://schemas.openxmlformats.org/officeDocument/2006/relationships/hyperlink" Target="https://libyaobserver.ly/news/cbl-cyberattack-contained-investigations-ongoing-no-signs-impact-customer-accounts" TargetMode="External"/><Relationship Id="rId12" Type="http://schemas.openxmlformats.org/officeDocument/2006/relationships/hyperlink" Target="https://libyaobserver.ly/inbrief/central-bank-warns-potential-salary-budget-shortfall-2026" TargetMode="External"/><Relationship Id="rId13" Type="http://schemas.openxmlformats.org/officeDocument/2006/relationships/hyperlink" Target="https://alwasat.ly/news/libya/520980" TargetMode="External"/><Relationship Id="rId14" Type="http://schemas.openxmlformats.org/officeDocument/2006/relationships/hyperlink" Target="https://www.eanlibya.com/%d8%a7%d9%84%d8%a8%d8%b9%d8%ab%d8%a9-%d8%a7%d9%84%d8%a3%d9%85%d9%85%d9%8a%d8%a9-%d8%aa%d9%88%d8%b6%d8%ad-%d8%ad%d9%82%d9%8a%d9%82%d8%a9-%d8%a7%d8%af%d8%b9%d8%a7%d8%a1%d8%a7%d8%aa-%d8%aa%d9%88%d8%b7/" TargetMode="External"/><Relationship Id="rId15" Type="http://schemas.openxmlformats.org/officeDocument/2006/relationships/hyperlink" Target="https://alwasat.ly/news/libya/520984" TargetMode="External"/><Relationship Id="rId16" Type="http://schemas.openxmlformats.org/officeDocument/2006/relationships/hyperlink" Target="https://www.eanlibya.com/%d9%85%d8%a4%d8%b3%d8%b3%d8%a9-%d8%a7%d9%84%d9%86%d9%81%d8%b7-%d8%aa%d8%b9%d9%84%d9%86-%d8%aa%d8%ad%d8%af%d9%8a%d8%ab-%d8%a3%d8%b1%d8%b5%d8%af%d8%a9-%d8%a7%d9%84%d9%88%d9%82%d9%88%d8%af-2/" TargetMode="External"/><Relationship Id="rId17" Type="http://schemas.openxmlformats.org/officeDocument/2006/relationships/hyperlink" Target="https://alwasat.ly/news/libya/521024" TargetMode="External"/><Relationship Id="rId18" Type="http://schemas.openxmlformats.org/officeDocument/2006/relationships/hyperlink" Target="https://www.eanlibya.com/%d8%a8%d9%85%d8%b4%d8%a7%d8%b1%d9%83%d8%a9-%d9%84%d9%8a%d8%a8%d9%8a%d8%a7-%d8%aa%d9%88%d9%86%d8%b3-%d8%aa%d8%b3%d8%aa%d8%b6%d9%8a%d9%81-%d9%84%d9%82%d8%a7%d8%a1%d9%8b-%d8%b9%d8%b1%d8%a8%d9%8a%d8%a7/" TargetMode="External"/><Relationship Id="rId19" Type="http://schemas.openxmlformats.org/officeDocument/2006/relationships/hyperlink" Target="https://alwasat.ly/news/libya/520981" TargetMode="External"/><Relationship Id="rId20" Type="http://schemas.openxmlformats.org/officeDocument/2006/relationships/hyperlink" Target="https://www.eanlibya.com/%d9%84%d9%8a%d8%a8%d9%8a%d8%a7-%d8%aa%d8%b5%d8%af%d8%b1-%d8%aa%d8%ad%d8%b0%d9%8a%d8%b1%d8%a7%d9%8b-%d8%b5%d8%ad%d9%8a%d8%a7%d9%8b-%d9%84%d9%84%d8%b9%d8%a7%d8%a6%d8%af%d9%8a%d9%86-%d9%85%d9%86-%d8%a7/" TargetMode="External"/><Relationship Id="rId21" Type="http://schemas.openxmlformats.org/officeDocument/2006/relationships/hyperlink" Target="https://alwasat.ly/news/libya/5210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