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6"/>
        </w:pBdr>
        <w:spacing w:after="120"/>
        <w:jc w:val="center"/>
      </w:pPr>
      <w:r>
        <w:rPr>
          <w:b/>
          <w:bCs/>
          <w:sz w:val="30"/>
          <w:szCs w:val="30"/>
        </w:rPr>
        <w:t xml:space="preserve">SQL Analysis of an E-Commerce Orders Dataset</w:t>
      </w:r>
    </w:p>
    <w:p>
      <w:pPr>
        <w:spacing w:after="200"/>
        <w:jc w:val="center"/>
      </w:pPr>
      <w:r>
        <w:rPr>
          <w:i/>
          <w:iCs/>
          <w:sz w:val="18"/>
          <w:szCs w:val="18"/>
        </w:rPr>
        <w:t xml:space="preserve">Database: ecommerce_orders  •  MySQL  •  1,200 orders  •  Prepared by Mohamed</w:t>
      </w:r>
    </w:p>
    <w:p>
      <w:pPr>
        <w:pStyle w:val="Heading1"/>
      </w:pPr>
      <w:r>
        <w:t xml:space="preserve">1. Abstract</w:t>
      </w:r>
    </w:p>
    <w:p>
      <w:pPr>
        <w:spacing w:after="100" w:line="260"/>
        <w:jc w:val="both"/>
      </w:pPr>
      <w:r>
        <w:rPr>
          <w:sz w:val="20"/>
          <w:szCs w:val="20"/>
        </w:rPr>
        <w:t xml:space="preserve">This document presents an SQL-based analysis of a transactional e-commerce orders dataset of 1,200 records on a MySQL database. Each query is reported in full and accompanied by a written insight that interprets its result and states the business implication. The analysis quantifies aggregate performance, characterises behaviour across product, payment, and referral dimensions, and isolates the central business problem of cancelled and returned orders.</w:t>
      </w:r>
    </w:p>
    <w:p>
      <w:pPr>
        <w:pStyle w:val="Heading1"/>
      </w:pPr>
      <w:r>
        <w:t xml:space="preserve">2. Introduction</w:t>
      </w:r>
    </w:p>
    <w:p>
      <w:pPr>
        <w:spacing w:after="100" w:line="260"/>
        <w:jc w:val="both"/>
      </w:pPr>
      <w:r>
        <w:rPr>
          <w:sz w:val="20"/>
          <w:szCs w:val="20"/>
        </w:rPr>
        <w:t xml:space="preserve">E-commerce transactional data becomes valuable only when summarised into interpretable metrics. This documentation formalises a reproducible SQL workflow on a single denormalised orders table. For every query the SQL is reported verbatim, followed by an insight that translates the output into a finding a business stakeholder can act on. All figures are derived from the dataset and corroborated by the accompanying exploratory analysis.</w:t>
      </w:r>
    </w:p>
    <w:p>
      <w:pPr>
        <w:pStyle w:val="Heading1"/>
      </w:pPr>
      <w:r>
        <w:t xml:space="preserve">3. Dataset</w:t>
      </w:r>
    </w:p>
    <w:p>
      <w:pPr>
        <w:spacing w:after="100" w:line="260"/>
        <w:jc w:val="both"/>
      </w:pPr>
      <w:r>
        <w:rPr>
          <w:sz w:val="20"/>
          <w:szCs w:val="20"/>
        </w:rPr>
        <w:t xml:space="preserve">The analysis uses one denormalised table, orders, where each row is one order. The key columns are summarised below.</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360"/>
      </w:tblGrid>
      <w:tr>
        <w:trPr>
          <w:tblHeader/>
        </w:trPr>
        <w:tc>
          <w:tcPr>
            <w:tcW w:type="dxa" w:w="19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bCs/>
                <w:sz w:val="18"/>
                <w:szCs w:val="18"/>
              </w:rPr>
              <w:t xml:space="preserve">Column</w:t>
            </w:r>
          </w:p>
        </w:tc>
        <w:tc>
          <w:tcPr>
            <w:tcW w:type="dxa" w:w="42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bCs/>
                <w:sz w:val="18"/>
                <w:szCs w:val="18"/>
              </w:rPr>
              <w:t xml:space="preserve">Description</w:t>
            </w:r>
          </w:p>
        </w:tc>
        <w:tc>
          <w:tcPr>
            <w:tcW w:type="dxa" w:w="236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bCs/>
                <w:sz w:val="18"/>
                <w:szCs w:val="18"/>
              </w:rPr>
              <w:t xml:space="preserve">Role</w:t>
            </w:r>
          </w:p>
        </w:tc>
      </w:tr>
      <w:tr>
        <w:tc>
          <w:tcPr>
            <w:tcW w:type="dxa" w:w="19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OrderID</w:t>
            </w:r>
          </w:p>
        </w:tc>
        <w:tc>
          <w:tcPr>
            <w:tcW w:type="dxa" w:w="42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Unique order identifier</w:t>
            </w:r>
          </w:p>
        </w:tc>
        <w:tc>
          <w:tcPr>
            <w:tcW w:type="dxa" w:w="236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Key</w:t>
            </w:r>
          </w:p>
        </w:tc>
      </w:tr>
      <w:tr>
        <w:tc>
          <w:tcPr>
            <w:tcW w:type="dxa" w:w="19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Product</w:t>
            </w:r>
          </w:p>
        </w:tc>
        <w:tc>
          <w:tcPr>
            <w:tcW w:type="dxa" w:w="42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Product purchased</w:t>
            </w:r>
          </w:p>
        </w:tc>
        <w:tc>
          <w:tcPr>
            <w:tcW w:type="dxa" w:w="236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Dimension</w:t>
            </w:r>
          </w:p>
        </w:tc>
      </w:tr>
      <w:tr>
        <w:tc>
          <w:tcPr>
            <w:tcW w:type="dxa" w:w="19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Quantity</w:t>
            </w:r>
          </w:p>
        </w:tc>
        <w:tc>
          <w:tcPr>
            <w:tcW w:type="dxa" w:w="42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Units ordered</w:t>
            </w:r>
          </w:p>
        </w:tc>
        <w:tc>
          <w:tcPr>
            <w:tcW w:type="dxa" w:w="236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Measure</w:t>
            </w:r>
          </w:p>
        </w:tc>
      </w:tr>
      <w:tr>
        <w:tc>
          <w:tcPr>
            <w:tcW w:type="dxa" w:w="19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TotalPrice</w:t>
            </w:r>
          </w:p>
        </w:tc>
        <w:tc>
          <w:tcPr>
            <w:tcW w:type="dxa" w:w="42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Order value</w:t>
            </w:r>
          </w:p>
        </w:tc>
        <w:tc>
          <w:tcPr>
            <w:tcW w:type="dxa" w:w="236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Primary measure</w:t>
            </w:r>
          </w:p>
        </w:tc>
      </w:tr>
      <w:tr>
        <w:tc>
          <w:tcPr>
            <w:tcW w:type="dxa" w:w="19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PaymentMethod</w:t>
            </w:r>
          </w:p>
        </w:tc>
        <w:tc>
          <w:tcPr>
            <w:tcW w:type="dxa" w:w="42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Payment used</w:t>
            </w:r>
          </w:p>
        </w:tc>
        <w:tc>
          <w:tcPr>
            <w:tcW w:type="dxa" w:w="236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Dimension</w:t>
            </w:r>
          </w:p>
        </w:tc>
      </w:tr>
      <w:tr>
        <w:tc>
          <w:tcPr>
            <w:tcW w:type="dxa" w:w="19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OrderStatus</w:t>
            </w:r>
          </w:p>
        </w:tc>
        <w:tc>
          <w:tcPr>
            <w:tcW w:type="dxa" w:w="42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Delivered / Cancelled / Returned</w:t>
            </w:r>
          </w:p>
        </w:tc>
        <w:tc>
          <w:tcPr>
            <w:tcW w:type="dxa" w:w="236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Status</w:t>
            </w:r>
          </w:p>
        </w:tc>
      </w:tr>
      <w:tr>
        <w:tc>
          <w:tcPr>
            <w:tcW w:type="dxa" w:w="19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ReferralSource</w:t>
            </w:r>
          </w:p>
        </w:tc>
        <w:tc>
          <w:tcPr>
            <w:tcW w:type="dxa" w:w="42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Acquisition channel</w:t>
            </w:r>
          </w:p>
        </w:tc>
        <w:tc>
          <w:tcPr>
            <w:tcW w:type="dxa" w:w="236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Dimension</w:t>
            </w:r>
          </w:p>
        </w:tc>
      </w:tr>
      <w:tr>
        <w:tc>
          <w:tcPr>
            <w:tcW w:type="dxa" w:w="19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CouponCode</w:t>
            </w:r>
          </w:p>
        </w:tc>
        <w:tc>
          <w:tcPr>
            <w:tcW w:type="dxa" w:w="42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Coupon applied</w:t>
            </w:r>
          </w:p>
        </w:tc>
        <w:tc>
          <w:tcPr>
            <w:tcW w:type="dxa" w:w="236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Promotion</w:t>
            </w:r>
          </w:p>
        </w:tc>
      </w:tr>
      <w:tr>
        <w:tc>
          <w:tcPr>
            <w:tcW w:type="dxa" w:w="19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ItemsInCart</w:t>
            </w:r>
          </w:p>
        </w:tc>
        <w:tc>
          <w:tcPr>
            <w:tcW w:type="dxa" w:w="42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Items in cart</w:t>
            </w:r>
          </w:p>
        </w:tc>
        <w:tc>
          <w:tcPr>
            <w:tcW w:type="dxa" w:w="236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Behaviour</w:t>
            </w:r>
          </w:p>
        </w:tc>
      </w:tr>
      <w:tr>
        <w:tc>
          <w:tcPr>
            <w:tcW w:type="dxa" w:w="19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Date</w:t>
            </w:r>
          </w:p>
        </w:tc>
        <w:tc>
          <w:tcPr>
            <w:tcW w:type="dxa" w:w="420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Order date</w:t>
            </w:r>
          </w:p>
        </w:tc>
        <w:tc>
          <w:tcPr>
            <w:tcW w:type="dxa" w:w="2360"/>
            <w:tcBorders>
              <w:top w:val="single" w:color="000000" w:sz="1"/>
              <w:left w:val="single" w:color="000000" w:sz="1"/>
              <w:bottom w:val="single" w:color="000000" w:sz="1"/>
              <w:right w:val="single" w:color="000000" w:sz="1"/>
            </w:tcBorders>
            <w:tcMar>
              <w:top w:type="dxa" w:w="50"/>
              <w:left w:type="dxa" w:w="90"/>
              <w:bottom w:type="dxa" w:w="50"/>
              <w:right w:type="dxa" w:w="90"/>
            </w:tcMar>
          </w:tcPr>
          <w:p>
            <w:r>
              <w:rPr>
                <w:b w:val="false"/>
                <w:bCs w:val="false"/>
                <w:sz w:val="18"/>
                <w:szCs w:val="18"/>
              </w:rPr>
              <w:t xml:space="preserve">Temporal</w:t>
            </w:r>
          </w:p>
        </w:tc>
      </w:tr>
    </w:tbl>
    <w:p>
      <w:pPr>
        <w:pStyle w:val="Heading1"/>
      </w:pPr>
      <w:r>
        <w:t xml:space="preserve">4. Methodology</w:t>
      </w:r>
    </w:p>
    <w:p>
      <w:pPr>
        <w:spacing w:after="100" w:line="260"/>
        <w:jc w:val="both"/>
      </w:pPr>
      <w:r>
        <w:rPr>
          <w:sz w:val="20"/>
          <w:szCs w:val="20"/>
        </w:rPr>
        <w:t xml:space="preserve">The analysis moves from aggregate to specific, using four recurring techniques: grouped aggregation (COUNT, SUM, AVG with GROUP BY); conditional filtering (WHERE); scalar sub-query benchmarking against the dataset mean; and temporal grouping (YEAR, MONTH) for trend analysis.</w:t>
      </w:r>
    </w:p>
    <w:p>
      <w:pPr>
        <w:pStyle w:val="Heading1"/>
      </w:pPr>
      <w:r>
        <w:t xml:space="preserve">5. Analysis and Results</w:t>
      </w:r>
    </w:p>
    <w:p>
      <w:pPr>
        <w:pStyle w:val="Heading2"/>
      </w:pPr>
      <w:r>
        <w:t xml:space="preserve">5.1 Total Revenue, Orders, and Average Order Value</w:t>
      </w:r>
    </w:p>
    <w:p>
      <w:pPr>
        <w:shd w:fill="F4F4F4" w:val="clear"/>
        <w:spacing w:after="0" w:before="0" w:line="240"/>
        <w:ind w:left="100"/>
      </w:pPr>
      <w:r>
        <w:rPr>
          <w:rFonts w:ascii="Consolas" w:cs="Consolas" w:eastAsia="Consolas" w:hAnsi="Consolas"/>
          <w:sz w:val="17"/>
          <w:szCs w:val="17"/>
        </w:rPr>
        <w:t xml:space="preserve">SELECT COUNT(*) AS Total_Orders,</w:t>
      </w:r>
    </w:p>
    <w:p>
      <w:pPr>
        <w:shd w:fill="F4F4F4" w:val="clear"/>
        <w:spacing w:after="0" w:before="0" w:line="240"/>
        <w:ind w:left="100"/>
      </w:pPr>
      <w:r>
        <w:rPr>
          <w:rFonts w:ascii="Consolas" w:cs="Consolas" w:eastAsia="Consolas" w:hAnsi="Consolas"/>
          <w:sz w:val="17"/>
          <w:szCs w:val="17"/>
        </w:rPr>
        <w:t xml:space="preserve">       SUM(TotalPrice) AS Total_Revenue,</w:t>
      </w:r>
    </w:p>
    <w:p>
      <w:pPr>
        <w:shd w:fill="F4F4F4" w:val="clear"/>
        <w:spacing w:after="0" w:before="0" w:line="240"/>
        <w:ind w:left="100"/>
      </w:pPr>
      <w:r>
        <w:rPr>
          <w:rFonts w:ascii="Consolas" w:cs="Consolas" w:eastAsia="Consolas" w:hAnsi="Consolas"/>
          <w:sz w:val="17"/>
          <w:szCs w:val="17"/>
        </w:rPr>
        <w:t xml:space="preserve">       ROUND(AVG(TotalPrice),2) AS Avg_Order_Value</w:t>
      </w:r>
    </w:p>
    <w:p>
      <w:pPr>
        <w:shd w:fill="F4F4F4" w:val="clear"/>
        <w:spacing w:after="0" w:before="0" w:line="240"/>
        <w:ind w:left="100"/>
      </w:pPr>
      <w:r>
        <w:rPr>
          <w:rFonts w:ascii="Consolas" w:cs="Consolas" w:eastAsia="Consolas" w:hAnsi="Consolas"/>
          <w:sz w:val="17"/>
          <w:szCs w:val="17"/>
        </w:rPr>
        <w:t xml:space="preserve">FROM orders;</w:t>
      </w:r>
    </w:p>
    <w:p>
      <w:pPr>
        <w:pBdr>
          <w:left w:val="single" w:color="000000" w:sz="18" w:space="8"/>
        </w:pBdr>
        <w:shd w:fill="EDEDED" w:val="clear"/>
        <w:spacing w:after="120" w:before="40" w:line="260"/>
        <w:ind w:left="100" w:right="100"/>
      </w:pPr>
      <w:r>
        <w:rPr>
          <w:b/>
          <w:bCs/>
          <w:sz w:val="20"/>
          <w:szCs w:val="20"/>
        </w:rPr>
        <w:t xml:space="preserve">Insight.  </w:t>
      </w:r>
      <w:r>
        <w:rPr>
          <w:sz w:val="20"/>
          <w:szCs w:val="20"/>
        </w:rPr>
        <w:t xml:space="preserve">The dataset contains 1,200 orders worth 1,264,761.96 in total, at an average order value of 1,053.97. However, the mean is well above the typical-order median of 823.62, which signals a right-skewed value distribution: a small number of large orders inflate the average. The median is therefore the more honest description of a normal order, and the mean of 1,053.97 is best used only as a benchmark for flagging high-value transactions later in the analysis.</w:t>
      </w:r>
    </w:p>
    <w:p>
      <w:pPr>
        <w:pStyle w:val="Heading2"/>
      </w:pPr>
      <w:r>
        <w:t xml:space="preserve">5.2 Revenue and Top Products</w:t>
      </w:r>
    </w:p>
    <w:p>
      <w:pPr>
        <w:shd w:fill="F4F4F4" w:val="clear"/>
        <w:spacing w:after="0" w:before="0" w:line="240"/>
        <w:ind w:left="100"/>
      </w:pPr>
      <w:r>
        <w:rPr>
          <w:rFonts w:ascii="Consolas" w:cs="Consolas" w:eastAsia="Consolas" w:hAnsi="Consolas"/>
          <w:sz w:val="17"/>
          <w:szCs w:val="17"/>
        </w:rPr>
        <w:t xml:space="preserve">SELECT Product, COUNT(*) AS Total_orders,</w:t>
      </w:r>
    </w:p>
    <w:p>
      <w:pPr>
        <w:shd w:fill="F4F4F4" w:val="clear"/>
        <w:spacing w:after="0" w:before="0" w:line="240"/>
        <w:ind w:left="100"/>
      </w:pPr>
      <w:r>
        <w:rPr>
          <w:rFonts w:ascii="Consolas" w:cs="Consolas" w:eastAsia="Consolas" w:hAnsi="Consolas"/>
          <w:sz w:val="17"/>
          <w:szCs w:val="17"/>
        </w:rPr>
        <w:t xml:space="preserve">       SUM(TotalPrice) AS Total_revenue,</w:t>
      </w:r>
    </w:p>
    <w:p>
      <w:pPr>
        <w:shd w:fill="F4F4F4" w:val="clear"/>
        <w:spacing w:after="0" w:before="0" w:line="240"/>
        <w:ind w:left="100"/>
      </w:pPr>
      <w:r>
        <w:rPr>
          <w:rFonts w:ascii="Consolas" w:cs="Consolas" w:eastAsia="Consolas" w:hAnsi="Consolas"/>
          <w:sz w:val="17"/>
          <w:szCs w:val="17"/>
        </w:rPr>
        <w:t xml:space="preserve">       ROUND(AVG(TotalPrice),2) AS Avg_order_price</w:t>
      </w:r>
    </w:p>
    <w:p>
      <w:pPr>
        <w:shd w:fill="F4F4F4" w:val="clear"/>
        <w:spacing w:after="0" w:before="0" w:line="240"/>
        <w:ind w:left="100"/>
      </w:pPr>
      <w:r>
        <w:rPr>
          <w:rFonts w:ascii="Consolas" w:cs="Consolas" w:eastAsia="Consolas" w:hAnsi="Consolas"/>
          <w:sz w:val="17"/>
          <w:szCs w:val="17"/>
        </w:rPr>
        <w:t xml:space="preserve">FROM orders GROUP BY Product ORDER BY Total_revenue DESC;</w:t>
      </w:r>
    </w:p>
    <w:p>
      <w:pPr>
        <w:shd w:fill="F4F4F4" w:val="clear"/>
        <w:spacing w:after="0" w:before="0" w:line="240"/>
        <w:ind w:left="100"/>
      </w:pPr>
      <w:r>
        <w:rPr>
          <w:rFonts w:ascii="Consolas" w:cs="Consolas" w:eastAsia="Consolas" w:hAnsi="Consolas"/>
          <w:sz w:val="17"/>
          <w:szCs w:val="17"/>
        </w:rPr>
        <w:t xml:space="preserve"> </w:t>
      </w:r>
    </w:p>
    <w:p>
      <w:pPr>
        <w:shd w:fill="F4F4F4" w:val="clear"/>
        <w:spacing w:after="0" w:before="0" w:line="240"/>
        <w:ind w:left="100"/>
      </w:pPr>
      <w:r>
        <w:rPr>
          <w:rFonts w:ascii="Consolas" w:cs="Consolas" w:eastAsia="Consolas" w:hAnsi="Consolas"/>
          <w:sz w:val="17"/>
          <w:szCs w:val="17"/>
        </w:rPr>
        <w:t xml:space="preserve">SELECT Product, COUNT(*) AS Total_Orders, SUM(TotalPrice) AS Total_Revenue</w:t>
      </w:r>
    </w:p>
    <w:p>
      <w:pPr>
        <w:shd w:fill="F4F4F4" w:val="clear"/>
        <w:spacing w:after="0" w:before="0" w:line="240"/>
        <w:ind w:left="100"/>
      </w:pPr>
      <w:r>
        <w:rPr>
          <w:rFonts w:ascii="Consolas" w:cs="Consolas" w:eastAsia="Consolas" w:hAnsi="Consolas"/>
          <w:sz w:val="17"/>
          <w:szCs w:val="17"/>
        </w:rPr>
        <w:t xml:space="preserve">FROM orders GROUP BY Product ORDER BY Total_Orders DESC LIMIT 3;</w:t>
      </w:r>
    </w:p>
    <w:p>
      <w:pPr>
        <w:pBdr>
          <w:left w:val="single" w:color="000000" w:sz="18" w:space="8"/>
        </w:pBdr>
        <w:shd w:fill="EDEDED" w:val="clear"/>
        <w:spacing w:after="120" w:before="40" w:line="260"/>
        <w:ind w:left="100" w:right="100"/>
      </w:pPr>
      <w:r>
        <w:rPr>
          <w:b/>
          <w:bCs/>
          <w:sz w:val="20"/>
          <w:szCs w:val="20"/>
        </w:rPr>
        <w:t xml:space="preserve">Insight.  </w:t>
      </w:r>
      <w:r>
        <w:rPr>
          <w:sz w:val="20"/>
          <w:szCs w:val="20"/>
        </w:rPr>
        <w:t xml:space="preserve">Revenue is remarkably balanced across products, with no single item dominating. Chair and Printer lead at roughly 195,000 each, but they get there differently: Chair through a higher average order value, Printer through higher order volume. Laptop has the highest average order value (1,110.56) yet ranks only third in revenue, exposing a clear growth lever — pushing Laptop volume would convert its premium pricing into top-line revenue. Phone is the weakest on both counts (fewest orders at 156 and lowest average value at 972.58) and is the natural candidate for review.</w:t>
      </w:r>
    </w:p>
    <w:p>
      <w:pPr>
        <w:pStyle w:val="Heading2"/>
      </w:pPr>
      <w:r>
        <w:t xml:space="preserve">5.3 Revenue by Payment Method</w:t>
      </w:r>
    </w:p>
    <w:p>
      <w:pPr>
        <w:shd w:fill="F4F4F4" w:val="clear"/>
        <w:spacing w:after="0" w:before="0" w:line="240"/>
        <w:ind w:left="100"/>
      </w:pPr>
      <w:r>
        <w:rPr>
          <w:rFonts w:ascii="Consolas" w:cs="Consolas" w:eastAsia="Consolas" w:hAnsi="Consolas"/>
          <w:sz w:val="17"/>
          <w:szCs w:val="17"/>
        </w:rPr>
        <w:t xml:space="preserve">SELECT PaymentMethod, COUNT(*) AS Total_orders,</w:t>
      </w:r>
    </w:p>
    <w:p>
      <w:pPr>
        <w:shd w:fill="F4F4F4" w:val="clear"/>
        <w:spacing w:after="0" w:before="0" w:line="240"/>
        <w:ind w:left="100"/>
      </w:pPr>
      <w:r>
        <w:rPr>
          <w:rFonts w:ascii="Consolas" w:cs="Consolas" w:eastAsia="Consolas" w:hAnsi="Consolas"/>
          <w:sz w:val="17"/>
          <w:szCs w:val="17"/>
        </w:rPr>
        <w:t xml:space="preserve">       SUM(TotalPrice) AS Total_revenue,</w:t>
      </w:r>
    </w:p>
    <w:p>
      <w:pPr>
        <w:shd w:fill="F4F4F4" w:val="clear"/>
        <w:spacing w:after="0" w:before="0" w:line="240"/>
        <w:ind w:left="100"/>
      </w:pPr>
      <w:r>
        <w:rPr>
          <w:rFonts w:ascii="Consolas" w:cs="Consolas" w:eastAsia="Consolas" w:hAnsi="Consolas"/>
          <w:sz w:val="17"/>
          <w:szCs w:val="17"/>
        </w:rPr>
        <w:t xml:space="preserve">       ROUND(AVG(TotalPrice),2) AS Avg_order_price</w:t>
      </w:r>
    </w:p>
    <w:p>
      <w:pPr>
        <w:shd w:fill="F4F4F4" w:val="clear"/>
        <w:spacing w:after="0" w:before="0" w:line="240"/>
        <w:ind w:left="100"/>
      </w:pPr>
      <w:r>
        <w:rPr>
          <w:rFonts w:ascii="Consolas" w:cs="Consolas" w:eastAsia="Consolas" w:hAnsi="Consolas"/>
          <w:sz w:val="17"/>
          <w:szCs w:val="17"/>
        </w:rPr>
        <w:t xml:space="preserve">FROM orders GROUP BY PaymentMethod ORDER BY Total_revenue DESC;</w:t>
      </w:r>
    </w:p>
    <w:p>
      <w:pPr>
        <w:shd w:fill="F4F4F4" w:val="clear"/>
        <w:spacing w:after="0" w:before="0" w:line="240"/>
        <w:ind w:left="100"/>
      </w:pPr>
      <w:r>
        <w:rPr>
          <w:rFonts w:ascii="Consolas" w:cs="Consolas" w:eastAsia="Consolas" w:hAnsi="Consolas"/>
          <w:sz w:val="17"/>
          <w:szCs w:val="17"/>
        </w:rPr>
        <w:t xml:space="preserve"> </w:t>
      </w:r>
    </w:p>
    <w:p>
      <w:pPr>
        <w:shd w:fill="F4F4F4" w:val="clear"/>
        <w:spacing w:after="0" w:before="0" w:line="240"/>
        <w:ind w:left="100"/>
      </w:pPr>
      <w:r>
        <w:rPr>
          <w:rFonts w:ascii="Consolas" w:cs="Consolas" w:eastAsia="Consolas" w:hAnsi="Consolas"/>
          <w:sz w:val="17"/>
          <w:szCs w:val="17"/>
        </w:rPr>
        <w:t xml:space="preserve">SELECT PaymentMethod, COUNT(*) AS Delivered_Orders, SUM(TotalPrice) AS Revenue</w:t>
      </w:r>
    </w:p>
    <w:p>
      <w:pPr>
        <w:shd w:fill="F4F4F4" w:val="clear"/>
        <w:spacing w:after="0" w:before="0" w:line="240"/>
        <w:ind w:left="100"/>
      </w:pPr>
      <w:r>
        <w:rPr>
          <w:rFonts w:ascii="Consolas" w:cs="Consolas" w:eastAsia="Consolas" w:hAnsi="Consolas"/>
          <w:sz w:val="17"/>
          <w:szCs w:val="17"/>
        </w:rPr>
        <w:t xml:space="preserve">FROM orders WHERE OrderStatus = 'Delivered'</w:t>
      </w:r>
    </w:p>
    <w:p>
      <w:pPr>
        <w:shd w:fill="F4F4F4" w:val="clear"/>
        <w:spacing w:after="0" w:before="0" w:line="240"/>
        <w:ind w:left="100"/>
      </w:pPr>
      <w:r>
        <w:rPr>
          <w:rFonts w:ascii="Consolas" w:cs="Consolas" w:eastAsia="Consolas" w:hAnsi="Consolas"/>
          <w:sz w:val="17"/>
          <w:szCs w:val="17"/>
        </w:rPr>
        <w:t xml:space="preserve">GROUP BY PaymentMethod ORDER BY Delivered_Orders DESC;</w:t>
      </w:r>
    </w:p>
    <w:p>
      <w:pPr>
        <w:pBdr>
          <w:left w:val="single" w:color="000000" w:sz="18" w:space="8"/>
        </w:pBdr>
        <w:shd w:fill="EDEDED" w:val="clear"/>
        <w:spacing w:after="120" w:before="40" w:line="260"/>
        <w:ind w:left="100" w:right="100"/>
      </w:pPr>
      <w:r>
        <w:rPr>
          <w:b/>
          <w:bCs/>
          <w:sz w:val="20"/>
          <w:szCs w:val="20"/>
        </w:rPr>
        <w:t xml:space="preserve">Insight.  </w:t>
      </w:r>
      <w:r>
        <w:rPr>
          <w:sz w:val="20"/>
          <w:szCs w:val="20"/>
        </w:rPr>
        <w:t xml:space="preserve">Credit Card is the highest-value segment, leading both in total revenue (263,847) and in average order value (1,127.55) — these are the customers worth retaining. Online payment generates the most transactions (258) but ranks only second in revenue, meaning online shoppers buy more often but at lower ticket sizes. Debit Card is the weakest method on both measures (232,361 revenue, 1,001.56 average), suggesting it attracts the most price-sensitive buyers.</w:t>
      </w:r>
    </w:p>
    <w:p>
      <w:pPr>
        <w:pStyle w:val="Heading2"/>
      </w:pPr>
      <w:r>
        <w:t xml:space="preserve">5.4 Revenue by Order Status</w:t>
      </w:r>
    </w:p>
    <w:p>
      <w:pPr>
        <w:shd w:fill="F4F4F4" w:val="clear"/>
        <w:spacing w:after="0" w:before="0" w:line="240"/>
        <w:ind w:left="100"/>
      </w:pPr>
      <w:r>
        <w:rPr>
          <w:rFonts w:ascii="Consolas" w:cs="Consolas" w:eastAsia="Consolas" w:hAnsi="Consolas"/>
          <w:sz w:val="17"/>
          <w:szCs w:val="17"/>
        </w:rPr>
        <w:t xml:space="preserve">SELECT OrderStatus, COUNT(*) AS Total_orders,</w:t>
      </w:r>
    </w:p>
    <w:p>
      <w:pPr>
        <w:shd w:fill="F4F4F4" w:val="clear"/>
        <w:spacing w:after="0" w:before="0" w:line="240"/>
        <w:ind w:left="100"/>
      </w:pPr>
      <w:r>
        <w:rPr>
          <w:rFonts w:ascii="Consolas" w:cs="Consolas" w:eastAsia="Consolas" w:hAnsi="Consolas"/>
          <w:sz w:val="17"/>
          <w:szCs w:val="17"/>
        </w:rPr>
        <w:t xml:space="preserve">       SUM(TotalPrice) AS Total_revenue,</w:t>
      </w:r>
    </w:p>
    <w:p>
      <w:pPr>
        <w:shd w:fill="F4F4F4" w:val="clear"/>
        <w:spacing w:after="0" w:before="0" w:line="240"/>
        <w:ind w:left="100"/>
      </w:pPr>
      <w:r>
        <w:rPr>
          <w:rFonts w:ascii="Consolas" w:cs="Consolas" w:eastAsia="Consolas" w:hAnsi="Consolas"/>
          <w:sz w:val="17"/>
          <w:szCs w:val="17"/>
        </w:rPr>
        <w:t xml:space="preserve">       ROUND(AVG(TotalPrice),2) AS Avg_order_price</w:t>
      </w:r>
    </w:p>
    <w:p>
      <w:pPr>
        <w:shd w:fill="F4F4F4" w:val="clear"/>
        <w:spacing w:after="0" w:before="0" w:line="240"/>
        <w:ind w:left="100"/>
      </w:pPr>
      <w:r>
        <w:rPr>
          <w:rFonts w:ascii="Consolas" w:cs="Consolas" w:eastAsia="Consolas" w:hAnsi="Consolas"/>
          <w:sz w:val="17"/>
          <w:szCs w:val="17"/>
        </w:rPr>
        <w:t xml:space="preserve">FROM orders GROUP BY OrderStatus ORDER BY Total_revenue DESC;</w:t>
      </w:r>
    </w:p>
    <w:p>
      <w:pPr>
        <w:pBdr>
          <w:left w:val="single" w:color="000000" w:sz="18" w:space="8"/>
        </w:pBdr>
        <w:shd w:fill="EDEDED" w:val="clear"/>
        <w:spacing w:after="120" w:before="40" w:line="260"/>
        <w:ind w:left="100" w:right="100"/>
      </w:pPr>
      <w:r>
        <w:rPr>
          <w:b/>
          <w:bCs/>
          <w:sz w:val="20"/>
          <w:szCs w:val="20"/>
        </w:rPr>
        <w:t xml:space="preserve">Insight.  </w:t>
      </w:r>
      <w:r>
        <w:rPr>
          <w:sz w:val="20"/>
          <w:szCs w:val="20"/>
        </w:rPr>
        <w:t xml:space="preserve">This is the most alarming result in the analysis. Only 231 of 1,200 orders — 19.25% — were successfully delivered. The fulfilment funnel is leaking badly, and because order value is similar across statuses, the lost orders represent lost revenue at nearly full scale rather than a discounted tail.</w:t>
      </w:r>
    </w:p>
    <w:p>
      <w:pPr>
        <w:pStyle w:val="Heading2"/>
      </w:pPr>
      <w:r>
        <w:t xml:space="preserve">5.5 Orders Above Average (Sub-query)</w:t>
      </w:r>
    </w:p>
    <w:p>
      <w:pPr>
        <w:shd w:fill="F4F4F4" w:val="clear"/>
        <w:spacing w:after="0" w:before="0" w:line="240"/>
        <w:ind w:left="100"/>
      </w:pPr>
      <w:r>
        <w:rPr>
          <w:rFonts w:ascii="Consolas" w:cs="Consolas" w:eastAsia="Consolas" w:hAnsi="Consolas"/>
          <w:sz w:val="17"/>
          <w:szCs w:val="17"/>
        </w:rPr>
        <w:t xml:space="preserve">SELECT OrderID, Product, Quantity, TotalPrice, OrderStatus</w:t>
      </w:r>
    </w:p>
    <w:p>
      <w:pPr>
        <w:shd w:fill="F4F4F4" w:val="clear"/>
        <w:spacing w:after="0" w:before="0" w:line="240"/>
        <w:ind w:left="100"/>
      </w:pPr>
      <w:r>
        <w:rPr>
          <w:rFonts w:ascii="Consolas" w:cs="Consolas" w:eastAsia="Consolas" w:hAnsi="Consolas"/>
          <w:sz w:val="17"/>
          <w:szCs w:val="17"/>
        </w:rPr>
        <w:t xml:space="preserve">FROM orders</w:t>
      </w:r>
    </w:p>
    <w:p>
      <w:pPr>
        <w:shd w:fill="F4F4F4" w:val="clear"/>
        <w:spacing w:after="0" w:before="0" w:line="240"/>
        <w:ind w:left="100"/>
      </w:pPr>
      <w:r>
        <w:rPr>
          <w:rFonts w:ascii="Consolas" w:cs="Consolas" w:eastAsia="Consolas" w:hAnsi="Consolas"/>
          <w:sz w:val="17"/>
          <w:szCs w:val="17"/>
        </w:rPr>
        <w:t xml:space="preserve">WHERE TotalPrice &gt; (SELECT AVG(TotalPrice) FROM orders)</w:t>
      </w:r>
    </w:p>
    <w:p>
      <w:pPr>
        <w:shd w:fill="F4F4F4" w:val="clear"/>
        <w:spacing w:after="0" w:before="0" w:line="240"/>
        <w:ind w:left="100"/>
      </w:pPr>
      <w:r>
        <w:rPr>
          <w:rFonts w:ascii="Consolas" w:cs="Consolas" w:eastAsia="Consolas" w:hAnsi="Consolas"/>
          <w:sz w:val="17"/>
          <w:szCs w:val="17"/>
        </w:rPr>
        <w:t xml:space="preserve">ORDER BY TotalPrice DESC;</w:t>
      </w:r>
    </w:p>
    <w:p>
      <w:pPr>
        <w:shd w:fill="F4F4F4" w:val="clear"/>
        <w:spacing w:after="0" w:before="0" w:line="240"/>
        <w:ind w:left="100"/>
      </w:pPr>
      <w:r>
        <w:rPr>
          <w:rFonts w:ascii="Consolas" w:cs="Consolas" w:eastAsia="Consolas" w:hAnsi="Consolas"/>
          <w:sz w:val="17"/>
          <w:szCs w:val="17"/>
        </w:rPr>
        <w:t xml:space="preserve"> </w:t>
      </w:r>
    </w:p>
    <w:p>
      <w:pPr>
        <w:shd w:fill="F4F4F4" w:val="clear"/>
        <w:spacing w:after="0" w:before="0" w:line="240"/>
        <w:ind w:left="100"/>
      </w:pPr>
      <w:r>
        <w:rPr>
          <w:rFonts w:ascii="Consolas" w:cs="Consolas" w:eastAsia="Consolas" w:hAnsi="Consolas"/>
          <w:sz w:val="17"/>
          <w:szCs w:val="17"/>
        </w:rPr>
        <w:t xml:space="preserve">-- same query, with: AND OrderStatus = 'Delivered'</w:t>
      </w:r>
    </w:p>
    <w:p>
      <w:pPr>
        <w:pBdr>
          <w:left w:val="single" w:color="000000" w:sz="18" w:space="8"/>
        </w:pBdr>
        <w:shd w:fill="EDEDED" w:val="clear"/>
        <w:spacing w:after="120" w:before="40" w:line="260"/>
        <w:ind w:left="100" w:right="100"/>
      </w:pPr>
      <w:r>
        <w:rPr>
          <w:b/>
          <w:bCs/>
          <w:sz w:val="20"/>
          <w:szCs w:val="20"/>
        </w:rPr>
        <w:t xml:space="preserve">Insight.  </w:t>
      </w:r>
      <w:r>
        <w:rPr>
          <w:sz w:val="20"/>
          <w:szCs w:val="20"/>
        </w:rPr>
        <w:t xml:space="preserve">Using the dataset mean (1,053.97) as a dynamic threshold isolates the high-value tail without hard-coding a number, so the query stays correct even as the data grows. Adding the delivered filter narrows this to the most commercially desirable subset — high-value orders that actually completed — which is exactly the cohort the business should study to understand what a successful premium order looks like and how to reproduce it.</w:t>
      </w:r>
    </w:p>
    <w:p>
      <w:pPr>
        <w:pStyle w:val="Heading2"/>
      </w:pPr>
      <w:r>
        <w:t xml:space="preserve">5.6 Revenue by Referral Source</w:t>
      </w:r>
    </w:p>
    <w:p>
      <w:pPr>
        <w:shd w:fill="F4F4F4" w:val="clear"/>
        <w:spacing w:after="0" w:before="0" w:line="240"/>
        <w:ind w:left="100"/>
      </w:pPr>
      <w:r>
        <w:rPr>
          <w:rFonts w:ascii="Consolas" w:cs="Consolas" w:eastAsia="Consolas" w:hAnsi="Consolas"/>
          <w:sz w:val="17"/>
          <w:szCs w:val="17"/>
        </w:rPr>
        <w:t xml:space="preserve">SELECT ReferralSource, COUNT(*) AS Total_Orders,</w:t>
      </w:r>
    </w:p>
    <w:p>
      <w:pPr>
        <w:shd w:fill="F4F4F4" w:val="clear"/>
        <w:spacing w:after="0" w:before="0" w:line="240"/>
        <w:ind w:left="100"/>
      </w:pPr>
      <w:r>
        <w:rPr>
          <w:rFonts w:ascii="Consolas" w:cs="Consolas" w:eastAsia="Consolas" w:hAnsi="Consolas"/>
          <w:sz w:val="17"/>
          <w:szCs w:val="17"/>
        </w:rPr>
        <w:t xml:space="preserve">       SUM(TotalPrice) AS Total_Revenue,</w:t>
      </w:r>
    </w:p>
    <w:p>
      <w:pPr>
        <w:shd w:fill="F4F4F4" w:val="clear"/>
        <w:spacing w:after="0" w:before="0" w:line="240"/>
        <w:ind w:left="100"/>
      </w:pPr>
      <w:r>
        <w:rPr>
          <w:rFonts w:ascii="Consolas" w:cs="Consolas" w:eastAsia="Consolas" w:hAnsi="Consolas"/>
          <w:sz w:val="17"/>
          <w:szCs w:val="17"/>
        </w:rPr>
        <w:t xml:space="preserve">       ROUND(AVG(TotalPrice),2) AS Avg_Order_Value</w:t>
      </w:r>
    </w:p>
    <w:p>
      <w:pPr>
        <w:shd w:fill="F4F4F4" w:val="clear"/>
        <w:spacing w:after="0" w:before="0" w:line="240"/>
        <w:ind w:left="100"/>
      </w:pPr>
      <w:r>
        <w:rPr>
          <w:rFonts w:ascii="Consolas" w:cs="Consolas" w:eastAsia="Consolas" w:hAnsi="Consolas"/>
          <w:sz w:val="17"/>
          <w:szCs w:val="17"/>
        </w:rPr>
        <w:t xml:space="preserve">FROM orders GROUP BY ReferralSource ORDER BY Total_Revenue DESC;</w:t>
      </w:r>
    </w:p>
    <w:p>
      <w:pPr>
        <w:pBdr>
          <w:left w:val="single" w:color="000000" w:sz="18" w:space="8"/>
        </w:pBdr>
        <w:shd w:fill="EDEDED" w:val="clear"/>
        <w:spacing w:after="120" w:before="40" w:line="260"/>
        <w:ind w:left="100" w:right="100"/>
      </w:pPr>
      <w:r>
        <w:rPr>
          <w:b/>
          <w:bCs/>
          <w:sz w:val="20"/>
          <w:szCs w:val="20"/>
        </w:rPr>
        <w:t xml:space="preserve">Insight.  </w:t>
      </w:r>
      <w:r>
        <w:rPr>
          <w:sz w:val="20"/>
          <w:szCs w:val="20"/>
        </w:rPr>
        <w:t xml:space="preserve">Instagram is the standout channel, leading in both order count (259) and total revenue (275,285) — the marketing spend there is clearly paying off and deserves continued investment. Facebook tells a more interesting story: it has the second-lowest order count (228) but the highest average order value (1,098.29), meaning it attracts fewer but more valuable customers. Scaling Facebook acquisition is therefore a high-leverage opportunity. The Referral programme lags on every measure (222 orders, 226,815 revenue) and needs a full redesign.</w:t>
      </w:r>
    </w:p>
    <w:p>
      <w:pPr>
        <w:pStyle w:val="Heading2"/>
      </w:pPr>
      <w:r>
        <w:t xml:space="preserve">5.7 Most-Used Coupon Code</w:t>
      </w:r>
    </w:p>
    <w:p>
      <w:pPr>
        <w:shd w:fill="F4F4F4" w:val="clear"/>
        <w:spacing w:after="0" w:before="0" w:line="240"/>
        <w:ind w:left="100"/>
      </w:pPr>
      <w:r>
        <w:rPr>
          <w:rFonts w:ascii="Consolas" w:cs="Consolas" w:eastAsia="Consolas" w:hAnsi="Consolas"/>
          <w:sz w:val="17"/>
          <w:szCs w:val="17"/>
        </w:rPr>
        <w:t xml:space="preserve">SELECT CouponCode, COUNT(*) AS Total_Orders, SUM(TotalPrice) AS Total_Revenue</w:t>
      </w:r>
    </w:p>
    <w:p>
      <w:pPr>
        <w:shd w:fill="F4F4F4" w:val="clear"/>
        <w:spacing w:after="0" w:before="0" w:line="240"/>
        <w:ind w:left="100"/>
      </w:pPr>
      <w:r>
        <w:rPr>
          <w:rFonts w:ascii="Consolas" w:cs="Consolas" w:eastAsia="Consolas" w:hAnsi="Consolas"/>
          <w:sz w:val="17"/>
          <w:szCs w:val="17"/>
        </w:rPr>
        <w:t xml:space="preserve">FROM orders GROUP BY CouponCode ORDER BY Total_Orders DESC LIMIT 1;</w:t>
      </w:r>
    </w:p>
    <w:p>
      <w:pPr>
        <w:pBdr>
          <w:left w:val="single" w:color="000000" w:sz="18" w:space="8"/>
        </w:pBdr>
        <w:shd w:fill="EDEDED" w:val="clear"/>
        <w:spacing w:after="120" w:before="40" w:line="260"/>
        <w:ind w:left="100" w:right="100"/>
      </w:pPr>
      <w:r>
        <w:rPr>
          <w:b/>
          <w:bCs/>
          <w:sz w:val="20"/>
          <w:szCs w:val="20"/>
        </w:rPr>
        <w:t xml:space="preserve">Insight.  </w:t>
      </w:r>
      <w:r>
        <w:rPr>
          <w:sz w:val="20"/>
          <w:szCs w:val="20"/>
        </w:rPr>
        <w:t xml:space="preserve">Coupon usage is a meaningful behavioural signal: roughly a quarter of orders (309 of 1,200) carried no coupon at all, so promotions are not universal. Identifying the single most-used code shows which promotion has the widest reach and lets the business weigh that reach against the discount it gives away.</w:t>
      </w:r>
    </w:p>
    <w:p>
      <w:pPr>
        <w:pStyle w:val="Heading2"/>
      </w:pPr>
      <w:r>
        <w:t xml:space="preserve">5.8 Monthly Revenue Trend</w:t>
      </w:r>
    </w:p>
    <w:p>
      <w:pPr>
        <w:shd w:fill="F4F4F4" w:val="clear"/>
        <w:spacing w:after="0" w:before="0" w:line="240"/>
        <w:ind w:left="100"/>
      </w:pPr>
      <w:r>
        <w:rPr>
          <w:rFonts w:ascii="Consolas" w:cs="Consolas" w:eastAsia="Consolas" w:hAnsi="Consolas"/>
          <w:sz w:val="17"/>
          <w:szCs w:val="17"/>
        </w:rPr>
        <w:t xml:space="preserve">SELECT YEAR(Date) AS Year, MONTH(Date) AS Month,</w:t>
      </w:r>
    </w:p>
    <w:p>
      <w:pPr>
        <w:shd w:fill="F4F4F4" w:val="clear"/>
        <w:spacing w:after="0" w:before="0" w:line="240"/>
        <w:ind w:left="100"/>
      </w:pPr>
      <w:r>
        <w:rPr>
          <w:rFonts w:ascii="Consolas" w:cs="Consolas" w:eastAsia="Consolas" w:hAnsi="Consolas"/>
          <w:sz w:val="17"/>
          <w:szCs w:val="17"/>
        </w:rPr>
        <w:t xml:space="preserve">       COUNT(*) AS Total_Orders, SUM(TotalPrice) AS Total_Revenue</w:t>
      </w:r>
    </w:p>
    <w:p>
      <w:pPr>
        <w:shd w:fill="F4F4F4" w:val="clear"/>
        <w:spacing w:after="0" w:before="0" w:line="240"/>
        <w:ind w:left="100"/>
      </w:pPr>
      <w:r>
        <w:rPr>
          <w:rFonts w:ascii="Consolas" w:cs="Consolas" w:eastAsia="Consolas" w:hAnsi="Consolas"/>
          <w:sz w:val="17"/>
          <w:szCs w:val="17"/>
        </w:rPr>
        <w:t xml:space="preserve">FROM orders GROUP BY YEAR(Date), MONTH(Date) ORDER BY Year, Month;</w:t>
      </w:r>
    </w:p>
    <w:p>
      <w:pPr>
        <w:shd w:fill="F4F4F4" w:val="clear"/>
        <w:spacing w:after="0" w:before="0" w:line="240"/>
        <w:ind w:left="100"/>
      </w:pPr>
      <w:r>
        <w:rPr>
          <w:rFonts w:ascii="Consolas" w:cs="Consolas" w:eastAsia="Consolas" w:hAnsi="Consolas"/>
          <w:sz w:val="17"/>
          <w:szCs w:val="17"/>
        </w:rPr>
        <w:t xml:space="preserve"> </w:t>
      </w:r>
    </w:p>
    <w:p>
      <w:pPr>
        <w:shd w:fill="F4F4F4" w:val="clear"/>
        <w:spacing w:after="0" w:before="0" w:line="240"/>
        <w:ind w:left="100"/>
      </w:pPr>
      <w:r>
        <w:rPr>
          <w:rFonts w:ascii="Consolas" w:cs="Consolas" w:eastAsia="Consolas" w:hAnsi="Consolas"/>
          <w:sz w:val="17"/>
          <w:szCs w:val="17"/>
        </w:rPr>
        <w:t xml:space="preserve">-- Best month: ORDER BY Revenue DESC LIMIT 1</w:t>
      </w:r>
    </w:p>
    <w:p>
      <w:pPr>
        <w:pBdr>
          <w:left w:val="single" w:color="000000" w:sz="18" w:space="8"/>
        </w:pBdr>
        <w:shd w:fill="EDEDED" w:val="clear"/>
        <w:spacing w:after="120" w:before="40" w:line="260"/>
        <w:ind w:left="100" w:right="100"/>
      </w:pPr>
      <w:r>
        <w:rPr>
          <w:b/>
          <w:bCs/>
          <w:sz w:val="20"/>
          <w:szCs w:val="20"/>
        </w:rPr>
        <w:t xml:space="preserve">Insight.  </w:t>
      </w:r>
      <w:r>
        <w:rPr>
          <w:sz w:val="20"/>
          <w:szCs w:val="20"/>
        </w:rPr>
        <w:t xml:space="preserve">Three patterns emerge. June is a reliable mid-year peak every year (49,500 in 2023, 68,068 in 2024, 53,047 in 2025), which the business can plan promotions and stock around. January, by contrast, is declining sharply year over year — 56,685, then 38,528, then 29,099 — a 49% drop over two years that needs urgent attention. May 2024 (27,909) was an irregular dip against healthy Mays in 2023 and 2025. Overall the trend is flat: stable but with no year-over-year growth.</w:t>
      </w:r>
    </w:p>
    <w:p>
      <w:pPr>
        <w:pStyle w:val="Heading2"/>
      </w:pPr>
      <w:r>
        <w:t xml:space="preserve">5.9 The Business Problem: Cancelled and Returned Orders</w:t>
      </w:r>
    </w:p>
    <w:p>
      <w:pPr>
        <w:shd w:fill="F4F4F4" w:val="clear"/>
        <w:spacing w:after="0" w:before="0" w:line="240"/>
        <w:ind w:left="100"/>
      </w:pPr>
      <w:r>
        <w:rPr>
          <w:rFonts w:ascii="Consolas" w:cs="Consolas" w:eastAsia="Consolas" w:hAnsi="Consolas"/>
          <w:sz w:val="17"/>
          <w:szCs w:val="17"/>
        </w:rPr>
        <w:t xml:space="preserve">SELECT OrderStatus, COUNT(*) AS Total_Orders,</w:t>
      </w:r>
    </w:p>
    <w:p>
      <w:pPr>
        <w:shd w:fill="F4F4F4" w:val="clear"/>
        <w:spacing w:after="0" w:before="0" w:line="240"/>
        <w:ind w:left="100"/>
      </w:pPr>
      <w:r>
        <w:rPr>
          <w:rFonts w:ascii="Consolas" w:cs="Consolas" w:eastAsia="Consolas" w:hAnsi="Consolas"/>
          <w:sz w:val="17"/>
          <w:szCs w:val="17"/>
        </w:rPr>
        <w:t xml:space="preserve">       SUM(TotalPrice) AS Lost_Revenue,</w:t>
      </w:r>
    </w:p>
    <w:p>
      <w:pPr>
        <w:shd w:fill="F4F4F4" w:val="clear"/>
        <w:spacing w:after="0" w:before="0" w:line="240"/>
        <w:ind w:left="100"/>
      </w:pPr>
      <w:r>
        <w:rPr>
          <w:rFonts w:ascii="Consolas" w:cs="Consolas" w:eastAsia="Consolas" w:hAnsi="Consolas"/>
          <w:sz w:val="17"/>
          <w:szCs w:val="17"/>
        </w:rPr>
        <w:t xml:space="preserve">       ROUND(COUNT(*) * 100.0 /</w:t>
      </w:r>
    </w:p>
    <w:p>
      <w:pPr>
        <w:shd w:fill="F4F4F4" w:val="clear"/>
        <w:spacing w:after="0" w:before="0" w:line="240"/>
        <w:ind w:left="100"/>
      </w:pPr>
      <w:r>
        <w:rPr>
          <w:rFonts w:ascii="Consolas" w:cs="Consolas" w:eastAsia="Consolas" w:hAnsi="Consolas"/>
          <w:sz w:val="17"/>
          <w:szCs w:val="17"/>
        </w:rPr>
        <w:t xml:space="preserve">             (SELECT COUNT(*) FROM orders), 2) AS Percentage</w:t>
      </w:r>
    </w:p>
    <w:p>
      <w:pPr>
        <w:shd w:fill="F4F4F4" w:val="clear"/>
        <w:spacing w:after="0" w:before="0" w:line="240"/>
        <w:ind w:left="100"/>
      </w:pPr>
      <w:r>
        <w:rPr>
          <w:rFonts w:ascii="Consolas" w:cs="Consolas" w:eastAsia="Consolas" w:hAnsi="Consolas"/>
          <w:sz w:val="17"/>
          <w:szCs w:val="17"/>
        </w:rPr>
        <w:t xml:space="preserve">FROM orders WHERE OrderStatus IN ('Cancelled','Returned')</w:t>
      </w:r>
    </w:p>
    <w:p>
      <w:pPr>
        <w:shd w:fill="F4F4F4" w:val="clear"/>
        <w:spacing w:after="0" w:before="0" w:line="240"/>
        <w:ind w:left="100"/>
      </w:pPr>
      <w:r>
        <w:rPr>
          <w:rFonts w:ascii="Consolas" w:cs="Consolas" w:eastAsia="Consolas" w:hAnsi="Consolas"/>
          <w:sz w:val="17"/>
          <w:szCs w:val="17"/>
        </w:rPr>
        <w:t xml:space="preserve">GROUP BY OrderStatus ORDER BY Total_Orders DESC;</w:t>
      </w:r>
    </w:p>
    <w:p>
      <w:pPr>
        <w:shd w:fill="F4F4F4" w:val="clear"/>
        <w:spacing w:after="0" w:before="0" w:line="240"/>
        <w:ind w:left="100"/>
      </w:pPr>
      <w:r>
        <w:rPr>
          <w:rFonts w:ascii="Consolas" w:cs="Consolas" w:eastAsia="Consolas" w:hAnsi="Consolas"/>
          <w:sz w:val="17"/>
          <w:szCs w:val="17"/>
        </w:rPr>
        <w:t xml:space="preserve"> </w:t>
      </w:r>
    </w:p>
    <w:p>
      <w:pPr>
        <w:shd w:fill="F4F4F4" w:val="clear"/>
        <w:spacing w:after="0" w:before="0" w:line="240"/>
        <w:ind w:left="100"/>
      </w:pPr>
      <w:r>
        <w:rPr>
          <w:rFonts w:ascii="Consolas" w:cs="Consolas" w:eastAsia="Consolas" w:hAnsi="Consolas"/>
          <w:sz w:val="17"/>
          <w:szCs w:val="17"/>
        </w:rPr>
        <w:t xml:space="preserve">SELECT OrderStatus, ROUND(AVG(ItemsInCart),2) AS Avg_Items_In_Cart,</w:t>
      </w:r>
    </w:p>
    <w:p>
      <w:pPr>
        <w:shd w:fill="F4F4F4" w:val="clear"/>
        <w:spacing w:after="0" w:before="0" w:line="240"/>
        <w:ind w:left="100"/>
      </w:pPr>
      <w:r>
        <w:rPr>
          <w:rFonts w:ascii="Consolas" w:cs="Consolas" w:eastAsia="Consolas" w:hAnsi="Consolas"/>
          <w:sz w:val="17"/>
          <w:szCs w:val="17"/>
        </w:rPr>
        <w:t xml:space="preserve">       ROUND(AVG(TotalPrice),2) AS Avg_Order_Value</w:t>
      </w:r>
    </w:p>
    <w:p>
      <w:pPr>
        <w:shd w:fill="F4F4F4" w:val="clear"/>
        <w:spacing w:after="0" w:before="0" w:line="240"/>
        <w:ind w:left="100"/>
      </w:pPr>
      <w:r>
        <w:rPr>
          <w:rFonts w:ascii="Consolas" w:cs="Consolas" w:eastAsia="Consolas" w:hAnsi="Consolas"/>
          <w:sz w:val="17"/>
          <w:szCs w:val="17"/>
        </w:rPr>
        <w:t xml:space="preserve">FROM orders GROUP BY OrderStatus ORDER BY Avg_Items_In_Cart DESC;</w:t>
      </w:r>
    </w:p>
    <w:p>
      <w:pPr>
        <w:pBdr>
          <w:left w:val="single" w:color="000000" w:sz="18" w:space="8"/>
        </w:pBdr>
        <w:shd w:fill="EDEDED" w:val="clear"/>
        <w:spacing w:after="120" w:before="40" w:line="260"/>
        <w:ind w:left="100" w:right="100"/>
      </w:pPr>
      <w:r>
        <w:rPr>
          <w:b/>
          <w:bCs/>
          <w:sz w:val="20"/>
          <w:szCs w:val="20"/>
        </w:rPr>
        <w:t xml:space="preserve">Insight.  </w:t>
      </w:r>
      <w:r>
        <w:rPr>
          <w:sz w:val="20"/>
          <w:szCs w:val="20"/>
        </w:rPr>
        <w:t xml:space="preserve">This is the headline problem. 497 orders — 250 cancelled and 247 returned, or 41.4% of all orders — translate into roughly 519,673 in lost revenue. Worse, cancelled orders carry the highest average value of any status (1,105.58), so the business is losing its most valuable transactions at the highest rate. The cart-size comparison sharpens the question: if cancelled orders also show larger carts, the loss is concentrated in big, deliberate baskets rather than impulse buys, which points the investigation toward checkout, payment, or fulfilment friction on high-value orders. Recovering even a fraction of this lost revenue is the single highest-impact action available.</w:t>
      </w:r>
    </w:p>
    <w:p>
      <w:pPr>
        <w:pStyle w:val="Heading1"/>
      </w:pPr>
      <w:r>
        <w:t xml:space="preserve">6. Conclusion</w:t>
      </w:r>
    </w:p>
    <w:p>
      <w:pPr>
        <w:spacing w:after="100" w:line="260"/>
        <w:jc w:val="both"/>
      </w:pPr>
      <w:r>
        <w:rPr>
          <w:sz w:val="20"/>
          <w:szCs w:val="20"/>
        </w:rPr>
        <w:t xml:space="preserve">The analysis shows a business that is clean and well balanced on the surface — revenue spread evenly across products, Credit Card and Instagram as standout segments, Laptop and Facebook as clear growth levers — but undermined by a severe fulfilment problem. With only 19.25% of orders delivered and 41.4% cancelled or returned at a cost of roughly 519,673, fulfilment is the top priority. The recurring techniques used here — grouped aggregation, conditional filtering, sub-query benchmarking, and temporal grouping — form a reproducible template, and the results map directly onto a Power BI star-schema model for ongoing monitoring.</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5"/>
        <w:szCs w:val="15"/>
      </w:rPr>
      <w:t xml:space="preserve">Page </w:t>
    </w:r>
    <w:r>
      <w:rPr>
        <w:color w:val="00000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4" w:space="3"/>
      </w:pBdr>
      <w:spacing w:after="100" w:before="200"/>
      <w:outlineLvl w:val="0"/>
    </w:pPr>
    <w:rPr>
      <w:rFonts w:ascii="Arial" w:cs="Arial" w:eastAsia="Arial" w:hAnsi="Arial"/>
      <w:b/>
      <w:bCs/>
      <w:color w:val="000000"/>
      <w:sz w:val="24"/>
      <w:szCs w:val="24"/>
    </w:rPr>
  </w:style>
  <w:style w:type="paragraph" w:styleId="Heading2">
    <w:name w:val="Heading 2"/>
    <w:basedOn w:val="Normal"/>
    <w:next w:val="Normal"/>
    <w:qFormat/>
    <w:pPr>
      <w:spacing w:after="70" w:before="140"/>
      <w:outlineLvl w:val="1"/>
    </w:pPr>
    <w:rPr>
      <w:rFonts w:ascii="Arial" w:cs="Arial" w:eastAsia="Arial" w:hAnsi="Arial"/>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2026-06-08T23:34:50.632Z</dcterms:created>
  <dcterms:modified xsi:type="dcterms:W3CDTF">2026-06-08T23:34:50.650Z</dcterms:modified>
</cp:coreProperties>
</file>

<file path=docProps/custom.xml><?xml version="1.0" encoding="utf-8"?>
<Properties xmlns="http://schemas.openxmlformats.org/officeDocument/2006/custom-properties" xmlns:vt="http://schemas.openxmlformats.org/officeDocument/2006/docPropsVTypes"/>
</file>