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b w:val="false"/>
          <w:bCs w:val="false"/>
          <w:i w:val="false"/>
          <w:iCs w:val="false"/>
          <w:color w:val="666666"/>
          <w:sz w:val="18"/>
          <w:szCs w:val="18"/>
        </w:rPr>
        <w:t xml:space="preserve">DecodeLabs  —  Industrial Training Programme  |  Batch 2026</w:t>
      </w:r>
    </w:p>
    <w:p>
      <w:pPr>
        <w:pBdr>
          <w:bottom w:val="single" w:color="1B3A6B" w:sz="6" w:space="1"/>
        </w:pBdr>
        <w:spacing w:after="160" w:before="160"/>
      </w:pPr>
    </w:p>
    <w:p>
      <w:pPr>
        <w:spacing w:after="80" w:before="0"/>
        <w:jc w:val="center"/>
      </w:pPr>
      <w:r>
        <w:rPr>
          <w:rFonts w:ascii="Times New Roman" w:cs="Times New Roman" w:eastAsia="Times New Roman" w:hAnsi="Times New Roman"/>
          <w:b/>
          <w:bCs/>
          <w:i w:val="false"/>
          <w:iCs w:val="false"/>
          <w:color w:val="000000"/>
          <w:sz w:val="44"/>
          <w:szCs w:val="44"/>
        </w:rPr>
        <w:t xml:space="preserve">Exploratory Data Analysis Report</w:t>
      </w:r>
    </w:p>
    <w:p>
      <w:pPr>
        <w:spacing w:after="200" w:before="0"/>
        <w:jc w:val="center"/>
      </w:pPr>
      <w:r>
        <w:rPr>
          <w:rFonts w:ascii="Times New Roman" w:cs="Times New Roman" w:eastAsia="Times New Roman" w:hAnsi="Times New Roman"/>
          <w:b w:val="false"/>
          <w:bCs w:val="false"/>
          <w:i/>
          <w:iCs/>
          <w:color w:val="555555"/>
          <w:sz w:val="24"/>
          <w:szCs w:val="24"/>
        </w:rPr>
        <w:t xml:space="preserve">Project 2: Exploratory Data Analysis (EDA)</w:t>
      </w:r>
    </w:p>
    <w:p>
      <w:pPr>
        <w:spacing w:after="400" w:before="0"/>
        <w:jc w:val="center"/>
      </w:pPr>
      <w:r>
        <w:rPr>
          <w:rFonts w:ascii="Times New Roman" w:cs="Times New Roman" w:eastAsia="Times New Roman" w:hAnsi="Times New Roman"/>
          <w:b w:val="false"/>
          <w:bCs w:val="false"/>
          <w:i w:val="false"/>
          <w:iCs w:val="false"/>
          <w:color w:val="666666"/>
          <w:sz w:val="18"/>
          <w:szCs w:val="18"/>
        </w:rPr>
        <w:t xml:space="preserve">Analyst: DecodeLabs Intern     |     Date: June 7, 2026     |     Dataset: E-Commerce Orders     |     Total Records: 1,200</w:t>
      </w:r>
    </w:p>
    <w:p>
      <w:pPr>
        <w:pStyle w:val="Heading1"/>
        <w:spacing w:after="140" w:before="360"/>
      </w:pPr>
      <w:r>
        <w:rPr>
          <w:rFonts w:ascii="Times New Roman" w:cs="Times New Roman" w:eastAsia="Times New Roman" w:hAnsi="Times New Roman"/>
          <w:b/>
          <w:bCs/>
          <w:color w:val="1B3A6B"/>
          <w:sz w:val="28"/>
          <w:szCs w:val="28"/>
        </w:rPr>
        <w:t xml:space="preserve">1.  Introduction</w:t>
      </w:r>
    </w:p>
    <w:p>
      <w:pPr>
        <w:spacing w:after="140" w:before="0"/>
        <w:jc w:val="both"/>
      </w:pPr>
      <w:r>
        <w:rPr>
          <w:rFonts w:ascii="Times New Roman" w:cs="Times New Roman" w:eastAsia="Times New Roman" w:hAnsi="Times New Roman"/>
          <w:b w:val="false"/>
          <w:bCs w:val="false"/>
          <w:i w:val="false"/>
          <w:iCs w:val="false"/>
          <w:color w:val="000000"/>
          <w:sz w:val="20"/>
          <w:szCs w:val="20"/>
        </w:rPr>
        <w:t xml:space="preserve">This report presents the findings of an Exploratory Data Analysis (EDA) conducted on the E-Commerce Orders dataset as part of Project 2 of the DecodeLabs Industrial Training Programme. The dataset consists of 1,200 records covering order transactions from January 2023 to June 2025. The purpose of this analysis is to understand how the data is distributed, identify outliers, explore relationships between variables, and produce clear business insights. The full statistical tables and pivot tables are available in the accompanying Excel file.</w:t>
      </w:r>
    </w:p>
    <w:p>
      <w:pPr>
        <w:spacing w:after="140" w:before="0"/>
        <w:jc w:val="both"/>
      </w:pPr>
      <w:r>
        <w:rPr>
          <w:rFonts w:ascii="Times New Roman" w:cs="Times New Roman" w:eastAsia="Times New Roman" w:hAnsi="Times New Roman"/>
          <w:b w:val="false"/>
          <w:bCs w:val="false"/>
          <w:i w:val="false"/>
          <w:iCs w:val="false"/>
          <w:color w:val="000000"/>
          <w:sz w:val="20"/>
          <w:szCs w:val="20"/>
        </w:rPr>
        <w:t xml:space="preserve">The analysis was carried out in Microsoft Excel using descriptive statistics, IQR-based outlier detection, pivot table group analysis, correlation analysis, and monthly trend analysis.</w:t>
      </w:r>
    </w:p>
    <w:p>
      <w:pPr>
        <w:pStyle w:val="Heading1"/>
        <w:spacing w:after="140" w:before="360"/>
      </w:pPr>
      <w:r>
        <w:rPr>
          <w:rFonts w:ascii="Times New Roman" w:cs="Times New Roman" w:eastAsia="Times New Roman" w:hAnsi="Times New Roman"/>
          <w:b/>
          <w:bCs/>
          <w:color w:val="1B3A6B"/>
          <w:sz w:val="28"/>
          <w:szCs w:val="28"/>
        </w:rPr>
        <w:t xml:space="preserve">2.  Descriptive Statistics</w:t>
      </w:r>
    </w:p>
    <w:p>
      <w:pPr>
        <w:spacing w:after="140" w:before="0"/>
        <w:jc w:val="both"/>
      </w:pPr>
      <w:r>
        <w:rPr>
          <w:rFonts w:ascii="Times New Roman" w:cs="Times New Roman" w:eastAsia="Times New Roman" w:hAnsi="Times New Roman"/>
          <w:b w:val="false"/>
          <w:bCs w:val="false"/>
          <w:i w:val="false"/>
          <w:iCs w:val="false"/>
          <w:color w:val="000000"/>
          <w:sz w:val="20"/>
          <w:szCs w:val="20"/>
        </w:rPr>
        <w:t xml:space="preserve">The descriptive statistics reveal how values are spread across the four numeric columns: Quantity, UnitPrice, TotalPrice, and ItemsInCart.</w:t>
      </w:r>
    </w:p>
    <w:p>
      <w:pPr>
        <w:pStyle w:val="ListParagraph"/>
        <w:numPr>
          <w:ilvl w:val="0"/>
          <w:numId w:val="2"/>
        </w:numPr>
        <w:spacing w:after="60" w:before="60"/>
      </w:pPr>
      <w:r>
        <w:rPr>
          <w:rFonts w:ascii="Times New Roman" w:cs="Times New Roman" w:eastAsia="Times New Roman" w:hAnsi="Times New Roman"/>
          <w:b/>
          <w:bCs/>
          <w:sz w:val="20"/>
          <w:szCs w:val="20"/>
        </w:rPr>
        <w:t xml:space="preserve">Quantity: </w:t>
      </w:r>
      <w:r>
        <w:rPr>
          <w:rFonts w:ascii="Times New Roman" w:cs="Times New Roman" w:eastAsia="Times New Roman" w:hAnsi="Times New Roman"/>
          <w:sz w:val="20"/>
          <w:szCs w:val="20"/>
        </w:rPr>
        <w:t xml:space="preserve">The mean (2.95) and median (3) are almost identical, which means the data is evenly distributed with no skew. Customers consistently buy around 3 items per order.</w:t>
      </w:r>
    </w:p>
    <w:p>
      <w:pPr>
        <w:pStyle w:val="ListParagraph"/>
        <w:numPr>
          <w:ilvl w:val="0"/>
          <w:numId w:val="2"/>
        </w:numPr>
        <w:spacing w:after="60" w:before="60"/>
      </w:pPr>
      <w:r>
        <w:rPr>
          <w:rFonts w:ascii="Times New Roman" w:cs="Times New Roman" w:eastAsia="Times New Roman" w:hAnsi="Times New Roman"/>
          <w:b/>
          <w:bCs/>
          <w:sz w:val="20"/>
          <w:szCs w:val="20"/>
        </w:rPr>
        <w:t xml:space="preserve">UnitPrice: </w:t>
      </w:r>
      <w:r>
        <w:rPr>
          <w:rFonts w:ascii="Times New Roman" w:cs="Times New Roman" w:eastAsia="Times New Roman" w:hAnsi="Times New Roman"/>
          <w:sz w:val="20"/>
          <w:szCs w:val="20"/>
        </w:rPr>
        <w:t xml:space="preserve">Prices range from $11.39 to $699.93 with a mean of $356.41 and a median of $364.21. The two values are close to each other, indicating a balanced price distribution across the product range.</w:t>
      </w:r>
    </w:p>
    <w:p>
      <w:pPr>
        <w:pStyle w:val="ListParagraph"/>
        <w:numPr>
          <w:ilvl w:val="0"/>
          <w:numId w:val="2"/>
        </w:numPr>
        <w:spacing w:after="60" w:before="60"/>
      </w:pPr>
      <w:r>
        <w:rPr>
          <w:rFonts w:ascii="Times New Roman" w:cs="Times New Roman" w:eastAsia="Times New Roman" w:hAnsi="Times New Roman"/>
          <w:b/>
          <w:bCs/>
          <w:sz w:val="20"/>
          <w:szCs w:val="20"/>
        </w:rPr>
        <w:t xml:space="preserve">TotalPrice: </w:t>
      </w:r>
      <w:r>
        <w:rPr>
          <w:rFonts w:ascii="Times New Roman" w:cs="Times New Roman" w:eastAsia="Times New Roman" w:hAnsi="Times New Roman"/>
          <w:sz w:val="20"/>
          <w:szCs w:val="20"/>
        </w:rPr>
        <w:t xml:space="preserve">The mean ($1,053.97) is noticeably higher than the median ($823.62). This gap indicates a right-skewed distribution — a small number of very large orders are pulling the average up. In this case, the median is a more reliable measure of what a typical order looks like.</w:t>
      </w:r>
    </w:p>
    <w:p>
      <w:pPr>
        <w:pStyle w:val="ListParagraph"/>
        <w:numPr>
          <w:ilvl w:val="0"/>
          <w:numId w:val="2"/>
        </w:numPr>
        <w:spacing w:after="60" w:before="60"/>
      </w:pPr>
      <w:r>
        <w:rPr>
          <w:rFonts w:ascii="Times New Roman" w:cs="Times New Roman" w:eastAsia="Times New Roman" w:hAnsi="Times New Roman"/>
          <w:b/>
          <w:bCs/>
          <w:sz w:val="20"/>
          <w:szCs w:val="20"/>
        </w:rPr>
        <w:t xml:space="preserve">ItemsInCart: </w:t>
      </w:r>
      <w:r>
        <w:rPr>
          <w:rFonts w:ascii="Times New Roman" w:cs="Times New Roman" w:eastAsia="Times New Roman" w:hAnsi="Times New Roman"/>
          <w:sz w:val="20"/>
          <w:szCs w:val="20"/>
        </w:rPr>
        <w:t xml:space="preserve">Customers place on average 5 to 6 items in their cart but only complete purchases of around 3 items. This suggests a cart abandonment pattern that is worth investigating further.</w:t>
      </w:r>
    </w:p>
    <w:p>
      <w:pPr>
        <w:pStyle w:val="Heading1"/>
        <w:spacing w:after="140" w:before="360"/>
      </w:pPr>
      <w:r>
        <w:rPr>
          <w:rFonts w:ascii="Times New Roman" w:cs="Times New Roman" w:eastAsia="Times New Roman" w:hAnsi="Times New Roman"/>
          <w:b/>
          <w:bCs/>
          <w:color w:val="1B3A6B"/>
          <w:sz w:val="28"/>
          <w:szCs w:val="28"/>
        </w:rPr>
        <w:t xml:space="preserve">3.  Outlier Detection</w:t>
      </w:r>
    </w:p>
    <w:p>
      <w:pPr>
        <w:spacing w:after="140" w:before="0"/>
        <w:jc w:val="both"/>
      </w:pPr>
      <w:r>
        <w:rPr>
          <w:rFonts w:ascii="Times New Roman" w:cs="Times New Roman" w:eastAsia="Times New Roman" w:hAnsi="Times New Roman"/>
          <w:b w:val="false"/>
          <w:bCs w:val="false"/>
          <w:i w:val="false"/>
          <w:iCs w:val="false"/>
          <w:color w:val="000000"/>
          <w:sz w:val="20"/>
          <w:szCs w:val="20"/>
        </w:rPr>
        <w:t xml:space="preserve">Outliers were identified using the Interquartile Range (IQR) method. A value is considered an outlier if it falls below Q1 minus 1.5 times the IQR, or above Q3 plus 1.5 times the IQR.</w:t>
      </w:r>
    </w:p>
    <w:p>
      <w:pPr>
        <w:pStyle w:val="ListParagraph"/>
        <w:numPr>
          <w:ilvl w:val="0"/>
          <w:numId w:val="2"/>
        </w:numPr>
        <w:spacing w:after="60" w:before="60"/>
      </w:pPr>
      <w:r>
        <w:rPr>
          <w:rFonts w:ascii="Times New Roman" w:cs="Times New Roman" w:eastAsia="Times New Roman" w:hAnsi="Times New Roman"/>
          <w:sz w:val="20"/>
          <w:szCs w:val="20"/>
        </w:rPr>
        <w:t xml:space="preserve">Quantity, UnitPrice, and ItemsInCart contain zero outliers across all 1,200 records, confirming that these columns are clean and consistent.</w:t>
      </w:r>
    </w:p>
    <w:p>
      <w:pPr>
        <w:pStyle w:val="ListParagraph"/>
        <w:numPr>
          <w:ilvl w:val="0"/>
          <w:numId w:val="2"/>
        </w:numPr>
        <w:spacing w:after="60" w:before="60"/>
      </w:pPr>
      <w:r>
        <w:rPr>
          <w:rFonts w:ascii="Times New Roman" w:cs="Times New Roman" w:eastAsia="Times New Roman" w:hAnsi="Times New Roman"/>
          <w:b/>
          <w:bCs/>
          <w:sz w:val="20"/>
          <w:szCs w:val="20"/>
        </w:rPr>
        <w:t xml:space="preserve">TotalPrice contains 8 outliers</w:t>
      </w:r>
      <w:r>
        <w:rPr>
          <w:rFonts w:ascii="Times New Roman" w:cs="Times New Roman" w:eastAsia="Times New Roman" w:hAnsi="Times New Roman"/>
          <w:sz w:val="20"/>
          <w:szCs w:val="20"/>
        </w:rPr>
        <w:t xml:space="preserve"> — all above the upper bound of $3,330.42. These are not data errors. They represent genuine high-value orders where customers purchased the maximum quantity of expensive products. These records should be treated as a VIP customer segment and analysed separately.</w:t>
      </w:r>
    </w:p>
    <w:p>
      <w:pPr>
        <w:pStyle w:val="Heading1"/>
        <w:spacing w:after="140" w:before="360"/>
      </w:pPr>
      <w:r>
        <w:rPr>
          <w:rFonts w:ascii="Times New Roman" w:cs="Times New Roman" w:eastAsia="Times New Roman" w:hAnsi="Times New Roman"/>
          <w:b/>
          <w:bCs/>
          <w:color w:val="1B3A6B"/>
          <w:sz w:val="28"/>
          <w:szCs w:val="28"/>
        </w:rPr>
        <w:t xml:space="preserve">4.  Correlation Analysis</w:t>
      </w:r>
    </w:p>
    <w:p>
      <w:pPr>
        <w:spacing w:after="140" w:before="0"/>
        <w:jc w:val="both"/>
      </w:pPr>
      <w:r>
        <w:rPr>
          <w:rFonts w:ascii="Times New Roman" w:cs="Times New Roman" w:eastAsia="Times New Roman" w:hAnsi="Times New Roman"/>
          <w:b w:val="false"/>
          <w:bCs w:val="false"/>
          <w:i w:val="false"/>
          <w:iCs w:val="false"/>
          <w:color w:val="000000"/>
          <w:sz w:val="20"/>
          <w:szCs w:val="20"/>
        </w:rPr>
        <w:t xml:space="preserve">The Pearson Correlation Coefficient was used to measure the strength and direction of relationships between the numeric variables. A value close to 1 means a strong positive relationship, while a value close to 0 means no relationship.</w:t>
      </w:r>
    </w:p>
    <w:p>
      <w:pPr>
        <w:pStyle w:val="ListParagraph"/>
        <w:numPr>
          <w:ilvl w:val="0"/>
          <w:numId w:val="2"/>
        </w:numPr>
        <w:spacing w:after="60" w:before="60"/>
      </w:pPr>
      <w:r>
        <w:rPr>
          <w:rFonts w:ascii="Times New Roman" w:cs="Times New Roman" w:eastAsia="Times New Roman" w:hAnsi="Times New Roman"/>
          <w:b/>
          <w:bCs/>
          <w:sz w:val="20"/>
          <w:szCs w:val="20"/>
        </w:rPr>
        <w:t xml:space="preserve">UnitPrice and TotalPrice (0.717 — Strong): </w:t>
      </w:r>
      <w:r>
        <w:rPr>
          <w:rFonts w:ascii="Times New Roman" w:cs="Times New Roman" w:eastAsia="Times New Roman" w:hAnsi="Times New Roman"/>
          <w:sz w:val="20"/>
          <w:szCs w:val="20"/>
        </w:rPr>
        <w:t xml:space="preserve">The price of a product is the strongest driver of total order value. The more expensive the product, the higher the revenue per order.</w:t>
      </w:r>
    </w:p>
    <w:p>
      <w:pPr>
        <w:pStyle w:val="ListParagraph"/>
        <w:numPr>
          <w:ilvl w:val="0"/>
          <w:numId w:val="2"/>
        </w:numPr>
        <w:spacing w:after="60" w:before="60"/>
      </w:pPr>
      <w:r>
        <w:rPr>
          <w:rFonts w:ascii="Times New Roman" w:cs="Times New Roman" w:eastAsia="Times New Roman" w:hAnsi="Times New Roman"/>
          <w:b/>
          <w:bCs/>
          <w:sz w:val="20"/>
          <w:szCs w:val="20"/>
        </w:rPr>
        <w:t xml:space="preserve">Quantity and ItemsInCart (0.650 — Moderate-Strong): </w:t>
      </w:r>
      <w:r>
        <w:rPr>
          <w:rFonts w:ascii="Times New Roman" w:cs="Times New Roman" w:eastAsia="Times New Roman" w:hAnsi="Times New Roman"/>
          <w:sz w:val="20"/>
          <w:szCs w:val="20"/>
        </w:rPr>
        <w:t xml:space="preserve">Customers who add more items to their cart tend to complete higher-quantity purchases. Engaged shoppers buy more.</w:t>
      </w:r>
    </w:p>
    <w:p>
      <w:pPr>
        <w:pStyle w:val="ListParagraph"/>
        <w:numPr>
          <w:ilvl w:val="0"/>
          <w:numId w:val="2"/>
        </w:numPr>
        <w:spacing w:after="60" w:before="60"/>
      </w:pPr>
      <w:r>
        <w:rPr>
          <w:rFonts w:ascii="Times New Roman" w:cs="Times New Roman" w:eastAsia="Times New Roman" w:hAnsi="Times New Roman"/>
          <w:b/>
          <w:bCs/>
          <w:sz w:val="20"/>
          <w:szCs w:val="20"/>
        </w:rPr>
        <w:t xml:space="preserve">Quantity and TotalPrice (0.615 — Moderate): </w:t>
      </w:r>
      <w:r>
        <w:rPr>
          <w:rFonts w:ascii="Times New Roman" w:cs="Times New Roman" w:eastAsia="Times New Roman" w:hAnsi="Times New Roman"/>
          <w:sz w:val="20"/>
          <w:szCs w:val="20"/>
        </w:rPr>
        <w:t xml:space="preserve">Buying more units naturally increases the total order value. This is expected and confirms data consistency.</w:t>
      </w:r>
    </w:p>
    <w:p>
      <w:pPr>
        <w:pStyle w:val="ListParagraph"/>
        <w:numPr>
          <w:ilvl w:val="0"/>
          <w:numId w:val="2"/>
        </w:numPr>
        <w:spacing w:after="60" w:before="60"/>
      </w:pPr>
      <w:r>
        <w:rPr>
          <w:rFonts w:ascii="Times New Roman" w:cs="Times New Roman" w:eastAsia="Times New Roman" w:hAnsi="Times New Roman"/>
          <w:b/>
          <w:bCs/>
          <w:sz w:val="20"/>
          <w:szCs w:val="20"/>
        </w:rPr>
        <w:t xml:space="preserve">UnitPrice and Quantity (0.015 — No Relationship): </w:t>
      </w:r>
      <w:r>
        <w:rPr>
          <w:rFonts w:ascii="Times New Roman" w:cs="Times New Roman" w:eastAsia="Times New Roman" w:hAnsi="Times New Roman"/>
          <w:sz w:val="20"/>
          <w:szCs w:val="20"/>
        </w:rPr>
        <w:t xml:space="preserve">Product price has no effect on how many units a customer buys. Customers do not reduce their quantity when prices are higher.</w:t>
      </w:r>
    </w:p>
    <w:p>
      <w:pPr>
        <w:pStyle w:val="ListParagraph"/>
        <w:numPr>
          <w:ilvl w:val="0"/>
          <w:numId w:val="2"/>
        </w:numPr>
        <w:spacing w:after="60" w:before="60"/>
      </w:pPr>
      <w:r>
        <w:rPr>
          <w:rFonts w:ascii="Times New Roman" w:cs="Times New Roman" w:eastAsia="Times New Roman" w:hAnsi="Times New Roman"/>
          <w:b/>
          <w:bCs/>
          <w:sz w:val="20"/>
          <w:szCs w:val="20"/>
        </w:rPr>
        <w:t xml:space="preserve">UnitPrice and ItemsInCart (0.001 — No Relationship): </w:t>
      </w:r>
      <w:r>
        <w:rPr>
          <w:rFonts w:ascii="Times New Roman" w:cs="Times New Roman" w:eastAsia="Times New Roman" w:hAnsi="Times New Roman"/>
          <w:sz w:val="20"/>
          <w:szCs w:val="20"/>
        </w:rPr>
        <w:t xml:space="preserve">Price has absolutely no influence on how many items a customer places in their cart.</w:t>
      </w:r>
    </w:p>
    <w:p>
      <w:pPr>
        <w:pStyle w:val="Heading1"/>
        <w:spacing w:after="140" w:before="360"/>
      </w:pPr>
      <w:r>
        <w:rPr>
          <w:rFonts w:ascii="Times New Roman" w:cs="Times New Roman" w:eastAsia="Times New Roman" w:hAnsi="Times New Roman"/>
          <w:b/>
          <w:bCs/>
          <w:color w:val="1B3A6B"/>
          <w:sz w:val="28"/>
          <w:szCs w:val="28"/>
        </w:rPr>
        <w:t xml:space="preserve">5.  Group Analysis</w:t>
      </w:r>
    </w:p>
    <w:p>
      <w:pPr>
        <w:spacing w:after="160" w:before="80"/>
      </w:pPr>
      <w:r>
        <w:rPr>
          <w:rFonts w:ascii="Times New Roman" w:cs="Times New Roman" w:eastAsia="Times New Roman" w:hAnsi="Times New Roman"/>
          <w:i/>
          <w:iCs/>
          <w:color w:val="555555"/>
          <w:sz w:val="18"/>
          <w:szCs w:val="18"/>
        </w:rPr>
        <w:t xml:space="preserve">Full pivot tables for each group are available in the Excel file under the EDA - Group Analysis sheet.</w:t>
      </w:r>
    </w:p>
    <w:p>
      <w:pPr>
        <w:pStyle w:val="Heading2"/>
        <w:spacing w:after="100" w:before="220"/>
      </w:pPr>
      <w:r>
        <w:rPr>
          <w:rFonts w:ascii="Times New Roman" w:cs="Times New Roman" w:eastAsia="Times New Roman" w:hAnsi="Times New Roman"/>
          <w:b/>
          <w:bCs/>
          <w:color w:val="2E5FA3"/>
          <w:sz w:val="24"/>
          <w:szCs w:val="24"/>
        </w:rPr>
        <w:t xml:space="preserve">5.1  Revenue by Product</w:t>
      </w:r>
    </w:p>
    <w:p>
      <w:pPr>
        <w:pStyle w:val="ListParagraph"/>
        <w:numPr>
          <w:ilvl w:val="0"/>
          <w:numId w:val="2"/>
        </w:numPr>
        <w:spacing w:after="60" w:before="60"/>
      </w:pPr>
      <w:r>
        <w:rPr>
          <w:rFonts w:ascii="Times New Roman" w:cs="Times New Roman" w:eastAsia="Times New Roman" w:hAnsi="Times New Roman"/>
          <w:sz w:val="20"/>
          <w:szCs w:val="20"/>
        </w:rPr>
        <w:t xml:space="preserve">Chair and Printer lead in total revenue at approximately $195,000 each. Chair achieves this through a higher average order value, while Printer achieves it through a higher number of orders.</w:t>
      </w:r>
    </w:p>
    <w:p>
      <w:pPr>
        <w:pStyle w:val="ListParagraph"/>
        <w:numPr>
          <w:ilvl w:val="0"/>
          <w:numId w:val="2"/>
        </w:numPr>
        <w:spacing w:after="60" w:before="60"/>
      </w:pPr>
      <w:r>
        <w:rPr>
          <w:rFonts w:ascii="Times New Roman" w:cs="Times New Roman" w:eastAsia="Times New Roman" w:hAnsi="Times New Roman"/>
          <w:sz w:val="20"/>
          <w:szCs w:val="20"/>
        </w:rPr>
        <w:t xml:space="preserve">Laptop generates the highest average order value ($1,110.56) but ranks third in total revenue. This suggests a clear opportunity to increase sales volume for this product.</w:t>
      </w:r>
    </w:p>
    <w:p>
      <w:pPr>
        <w:pStyle w:val="ListParagraph"/>
        <w:numPr>
          <w:ilvl w:val="0"/>
          <w:numId w:val="2"/>
        </w:numPr>
        <w:spacing w:after="60" w:before="60"/>
      </w:pPr>
      <w:r>
        <w:rPr>
          <w:rFonts w:ascii="Times New Roman" w:cs="Times New Roman" w:eastAsia="Times New Roman" w:hAnsi="Times New Roman"/>
          <w:b/>
          <w:bCs/>
          <w:sz w:val="20"/>
          <w:szCs w:val="20"/>
        </w:rPr>
        <w:t xml:space="preserve">Phone is the weakest product on both measures</w:t>
      </w:r>
      <w:r>
        <w:rPr>
          <w:rFonts w:ascii="Times New Roman" w:cs="Times New Roman" w:eastAsia="Times New Roman" w:hAnsi="Times New Roman"/>
          <w:sz w:val="20"/>
          <w:szCs w:val="20"/>
        </w:rPr>
        <w:t xml:space="preserve"> — fewest orders (156) and lowest average order value ($972.58). Despite this, revenue across all products is fairly balanced with no single product dominating the others.</w:t>
      </w:r>
    </w:p>
    <w:p>
      <w:pPr>
        <w:pStyle w:val="Heading2"/>
        <w:spacing w:after="100" w:before="220"/>
      </w:pPr>
      <w:r>
        <w:rPr>
          <w:rFonts w:ascii="Times New Roman" w:cs="Times New Roman" w:eastAsia="Times New Roman" w:hAnsi="Times New Roman"/>
          <w:b/>
          <w:bCs/>
          <w:color w:val="2E5FA3"/>
          <w:sz w:val="24"/>
          <w:szCs w:val="24"/>
        </w:rPr>
        <w:t xml:space="preserve">5.2  Revenue by Payment Method</w:t>
      </w:r>
    </w:p>
    <w:p>
      <w:pPr>
        <w:pStyle w:val="ListParagraph"/>
        <w:numPr>
          <w:ilvl w:val="0"/>
          <w:numId w:val="2"/>
        </w:numPr>
        <w:spacing w:after="60" w:before="60"/>
      </w:pPr>
      <w:r>
        <w:rPr>
          <w:rFonts w:ascii="Times New Roman" w:cs="Times New Roman" w:eastAsia="Times New Roman" w:hAnsi="Times New Roman"/>
          <w:sz w:val="20"/>
          <w:szCs w:val="20"/>
        </w:rPr>
        <w:t xml:space="preserve">Credit Card generates the highest total revenue ($263,847) and the highest average order value ($1,127.55), making Credit Card customers the highest-spending segment.</w:t>
      </w:r>
    </w:p>
    <w:p>
      <w:pPr>
        <w:pStyle w:val="ListParagraph"/>
        <w:numPr>
          <w:ilvl w:val="0"/>
          <w:numId w:val="2"/>
        </w:numPr>
        <w:spacing w:after="60" w:before="60"/>
      </w:pPr>
      <w:r>
        <w:rPr>
          <w:rFonts w:ascii="Times New Roman" w:cs="Times New Roman" w:eastAsia="Times New Roman" w:hAnsi="Times New Roman"/>
          <w:sz w:val="20"/>
          <w:szCs w:val="20"/>
        </w:rPr>
        <w:t xml:space="preserve">Online payment has the most transactions (258 orders) but ranks second in total revenue. This means online payment customers tend to buy lower-priced items more frequently.</w:t>
      </w:r>
    </w:p>
    <w:p>
      <w:pPr>
        <w:pStyle w:val="ListParagraph"/>
        <w:numPr>
          <w:ilvl w:val="0"/>
          <w:numId w:val="2"/>
        </w:numPr>
        <w:spacing w:after="60" w:before="60"/>
      </w:pPr>
      <w:r>
        <w:rPr>
          <w:rFonts w:ascii="Times New Roman" w:cs="Times New Roman" w:eastAsia="Times New Roman" w:hAnsi="Times New Roman"/>
          <w:sz w:val="20"/>
          <w:szCs w:val="20"/>
        </w:rPr>
        <w:t xml:space="preserve">Debit Card is the weakest payment method — both lowest total revenue ($232,361) and lowest average order value ($1,001.56).</w:t>
      </w:r>
    </w:p>
    <w:p>
      <w:pPr>
        <w:pStyle w:val="Heading2"/>
        <w:spacing w:after="100" w:before="220"/>
      </w:pPr>
      <w:r>
        <w:rPr>
          <w:rFonts w:ascii="Times New Roman" w:cs="Times New Roman" w:eastAsia="Times New Roman" w:hAnsi="Times New Roman"/>
          <w:b/>
          <w:bCs/>
          <w:color w:val="2E5FA3"/>
          <w:sz w:val="24"/>
          <w:szCs w:val="24"/>
        </w:rPr>
        <w:t xml:space="preserve">5.3  Revenue by Order Status</w:t>
      </w:r>
    </w:p>
    <w:p>
      <w:pPr>
        <w:pStyle w:val="ListParagraph"/>
        <w:numPr>
          <w:ilvl w:val="0"/>
          <w:numId w:val="2"/>
        </w:numPr>
        <w:spacing w:after="60" w:before="60"/>
      </w:pPr>
      <w:r>
        <w:rPr>
          <w:rFonts w:ascii="Times New Roman" w:cs="Times New Roman" w:eastAsia="Times New Roman" w:hAnsi="Times New Roman"/>
          <w:b/>
          <w:bCs/>
          <w:color w:val="C00000"/>
          <w:sz w:val="20"/>
          <w:szCs w:val="20"/>
        </w:rPr>
        <w:t xml:space="preserve">Critical Finding: </w:t>
      </w:r>
      <w:r>
        <w:rPr>
          <w:rFonts w:ascii="Times New Roman" w:cs="Times New Roman" w:eastAsia="Times New Roman" w:hAnsi="Times New Roman"/>
          <w:sz w:val="20"/>
          <w:szCs w:val="20"/>
        </w:rPr>
        <w:t xml:space="preserve">Only 231 out of 1,200 orders (19.25%) were successfully delivered. This is a major operational concern that requires immediate attention.</w:t>
      </w:r>
    </w:p>
    <w:p>
      <w:pPr>
        <w:pStyle w:val="ListParagraph"/>
        <w:numPr>
          <w:ilvl w:val="0"/>
          <w:numId w:val="2"/>
        </w:numPr>
        <w:spacing w:after="60" w:before="60"/>
      </w:pPr>
      <w:r>
        <w:rPr>
          <w:rFonts w:ascii="Times New Roman" w:cs="Times New Roman" w:eastAsia="Times New Roman" w:hAnsi="Times New Roman"/>
          <w:b/>
          <w:bCs/>
          <w:sz w:val="20"/>
          <w:szCs w:val="20"/>
        </w:rPr>
        <w:t xml:space="preserve">497 orders were either Cancelled (250) or Returned (247)</w:t>
      </w:r>
      <w:r>
        <w:rPr>
          <w:rFonts w:ascii="Times New Roman" w:cs="Times New Roman" w:eastAsia="Times New Roman" w:hAnsi="Times New Roman"/>
          <w:sz w:val="20"/>
          <w:szCs w:val="20"/>
        </w:rPr>
        <w:t xml:space="preserve"> — representing 41.4% of all orders and approximately $519,673 in lost revenue.</w:t>
      </w:r>
    </w:p>
    <w:p>
      <w:pPr>
        <w:pStyle w:val="ListParagraph"/>
        <w:numPr>
          <w:ilvl w:val="0"/>
          <w:numId w:val="2"/>
        </w:numPr>
        <w:spacing w:after="60" w:before="60"/>
      </w:pPr>
      <w:r>
        <w:rPr>
          <w:rFonts w:ascii="Times New Roman" w:cs="Times New Roman" w:eastAsia="Times New Roman" w:hAnsi="Times New Roman"/>
          <w:sz w:val="20"/>
          <w:szCs w:val="20"/>
        </w:rPr>
        <w:t xml:space="preserve">Cancelled orders carry the highest average value ($1,105.58), meaning the business is losing its most valuable transactions at the highest rate. This pattern warrants urgent investigation.</w:t>
      </w:r>
    </w:p>
    <w:p>
      <w:pPr>
        <w:pStyle w:val="Heading2"/>
        <w:spacing w:after="100" w:before="220"/>
      </w:pPr>
      <w:r>
        <w:rPr>
          <w:rFonts w:ascii="Times New Roman" w:cs="Times New Roman" w:eastAsia="Times New Roman" w:hAnsi="Times New Roman"/>
          <w:b/>
          <w:bCs/>
          <w:color w:val="2E5FA3"/>
          <w:sz w:val="24"/>
          <w:szCs w:val="24"/>
        </w:rPr>
        <w:t xml:space="preserve">5.4  Revenue by Referral Source</w:t>
      </w:r>
    </w:p>
    <w:p>
      <w:pPr>
        <w:pStyle w:val="ListParagraph"/>
        <w:numPr>
          <w:ilvl w:val="0"/>
          <w:numId w:val="2"/>
        </w:numPr>
        <w:spacing w:after="60" w:before="60"/>
      </w:pPr>
      <w:r>
        <w:rPr>
          <w:rFonts w:ascii="Times New Roman" w:cs="Times New Roman" w:eastAsia="Times New Roman" w:hAnsi="Times New Roman"/>
          <w:sz w:val="20"/>
          <w:szCs w:val="20"/>
        </w:rPr>
        <w:t xml:space="preserve">Instagram is the top performing acquisition channel — highest order count (259) and highest total revenue ($275,285). Marketing investment in Instagram is clearly delivering results.</w:t>
      </w:r>
    </w:p>
    <w:p>
      <w:pPr>
        <w:pStyle w:val="ListParagraph"/>
        <w:numPr>
          <w:ilvl w:val="0"/>
          <w:numId w:val="2"/>
        </w:numPr>
        <w:spacing w:after="60" w:before="60"/>
      </w:pPr>
      <w:r>
        <w:rPr>
          <w:rFonts w:ascii="Times New Roman" w:cs="Times New Roman" w:eastAsia="Times New Roman" w:hAnsi="Times New Roman"/>
          <w:sz w:val="20"/>
          <w:szCs w:val="20"/>
        </w:rPr>
        <w:t xml:space="preserve">Facebook attracts high-value customers with the highest average order value ($1,098.29) but has the second lowest order count (228), suggesting a strong opportunity to scale Facebook marketing efforts.</w:t>
      </w:r>
    </w:p>
    <w:p>
      <w:pPr>
        <w:pStyle w:val="ListParagraph"/>
        <w:numPr>
          <w:ilvl w:val="0"/>
          <w:numId w:val="2"/>
        </w:numPr>
        <w:spacing w:after="60" w:before="60"/>
      </w:pPr>
      <w:r>
        <w:rPr>
          <w:rFonts w:ascii="Times New Roman" w:cs="Times New Roman" w:eastAsia="Times New Roman" w:hAnsi="Times New Roman"/>
          <w:sz w:val="20"/>
          <w:szCs w:val="20"/>
        </w:rPr>
        <w:t xml:space="preserve">The Referral programme is the weakest channel — fewest orders (222) and lowest total revenue ($226,815). The programme requires a full review and redesign to improve performance.</w:t>
      </w:r>
    </w:p>
    <w:p>
      <w:pPr>
        <w:pStyle w:val="Heading1"/>
        <w:spacing w:after="140" w:before="360"/>
      </w:pPr>
      <w:r>
        <w:rPr>
          <w:rFonts w:ascii="Times New Roman" w:cs="Times New Roman" w:eastAsia="Times New Roman" w:hAnsi="Times New Roman"/>
          <w:b/>
          <w:bCs/>
          <w:color w:val="1B3A6B"/>
          <w:sz w:val="28"/>
          <w:szCs w:val="28"/>
        </w:rPr>
        <w:t xml:space="preserve">6.  Monthly Revenue Trend</w:t>
      </w:r>
    </w:p>
    <w:p>
      <w:pPr>
        <w:spacing w:after="140" w:before="0"/>
        <w:jc w:val="both"/>
      </w:pPr>
      <w:r>
        <w:rPr>
          <w:rFonts w:ascii="Times New Roman" w:cs="Times New Roman" w:eastAsia="Times New Roman" w:hAnsi="Times New Roman"/>
          <w:b w:val="false"/>
          <w:bCs w:val="false"/>
          <w:i w:val="false"/>
          <w:iCs w:val="false"/>
          <w:color w:val="000000"/>
          <w:sz w:val="20"/>
          <w:szCs w:val="20"/>
        </w:rPr>
        <w:t xml:space="preserve">The monthly revenue trend was analysed across 2023, 2024, and 2025 (January to June only for 2025).</w:t>
      </w:r>
    </w:p>
    <w:p>
      <w:pPr>
        <w:pStyle w:val="ListParagraph"/>
        <w:numPr>
          <w:ilvl w:val="0"/>
          <w:numId w:val="2"/>
        </w:numPr>
        <w:spacing w:after="60" w:before="60"/>
      </w:pPr>
      <w:r>
        <w:rPr>
          <w:rFonts w:ascii="Times New Roman" w:cs="Times New Roman" w:eastAsia="Times New Roman" w:hAnsi="Times New Roman"/>
          <w:sz w:val="20"/>
          <w:szCs w:val="20"/>
        </w:rPr>
        <w:t xml:space="preserve">June is consistently the strongest month across all years — $49,500 in 2023, $68,068 in 2024, and $53,047 in 2025. This indicates a reliable mid-year seasonal peak that the business can plan around.</w:t>
      </w:r>
    </w:p>
    <w:p>
      <w:pPr>
        <w:pStyle w:val="ListParagraph"/>
        <w:numPr>
          <w:ilvl w:val="0"/>
          <w:numId w:val="2"/>
        </w:numPr>
        <w:spacing w:after="60" w:before="60"/>
      </w:pPr>
      <w:r>
        <w:rPr>
          <w:rFonts w:ascii="Times New Roman" w:cs="Times New Roman" w:eastAsia="Times New Roman" w:hAnsi="Times New Roman"/>
          <w:b/>
          <w:bCs/>
          <w:sz w:val="20"/>
          <w:szCs w:val="20"/>
        </w:rPr>
        <w:t xml:space="preserve">January is showing a worrying decline year over year</w:t>
      </w:r>
      <w:r>
        <w:rPr>
          <w:rFonts w:ascii="Times New Roman" w:cs="Times New Roman" w:eastAsia="Times New Roman" w:hAnsi="Times New Roman"/>
          <w:sz w:val="20"/>
          <w:szCs w:val="20"/>
        </w:rPr>
        <w:t xml:space="preserve"> — $56,685 in 2023, $38,528 in 2024, and $29,099 in 2025. This is a 49% drop over two years and needs urgent attention.</w:t>
      </w:r>
    </w:p>
    <w:p>
      <w:pPr>
        <w:pStyle w:val="ListParagraph"/>
        <w:numPr>
          <w:ilvl w:val="0"/>
          <w:numId w:val="2"/>
        </w:numPr>
        <w:spacing w:after="60" w:before="60"/>
      </w:pPr>
      <w:r>
        <w:rPr>
          <w:rFonts w:ascii="Times New Roman" w:cs="Times New Roman" w:eastAsia="Times New Roman" w:hAnsi="Times New Roman"/>
          <w:sz w:val="20"/>
          <w:szCs w:val="20"/>
        </w:rPr>
        <w:t xml:space="preserve">May 2024 ($27,909) was unusually weak compared to May 2023 ($63,836) and May 2025 ($43,396), representing an irregular dip that warrants further investigation.</w:t>
      </w:r>
    </w:p>
    <w:p>
      <w:pPr>
        <w:pStyle w:val="ListParagraph"/>
        <w:numPr>
          <w:ilvl w:val="0"/>
          <w:numId w:val="2"/>
        </w:numPr>
        <w:spacing w:after="60" w:before="60"/>
      </w:pPr>
      <w:r>
        <w:rPr>
          <w:rFonts w:ascii="Times New Roman" w:cs="Times New Roman" w:eastAsia="Times New Roman" w:hAnsi="Times New Roman"/>
          <w:sz w:val="20"/>
          <w:szCs w:val="20"/>
        </w:rPr>
        <w:t xml:space="preserve">Overall, revenue shows no clear growth trend. Performance appears stable but flat, with no consistent year-over-year improvement.</w:t>
      </w:r>
    </w:p>
    <w:p>
      <w:pPr>
        <w:spacing w:after="160" w:before="80"/>
      </w:pPr>
      <w:r>
        <w:rPr>
          <w:rFonts w:ascii="Times New Roman" w:cs="Times New Roman" w:eastAsia="Times New Roman" w:hAnsi="Times New Roman"/>
          <w:i/>
          <w:iCs/>
          <w:color w:val="555555"/>
          <w:sz w:val="18"/>
          <w:szCs w:val="18"/>
        </w:rPr>
        <w:t xml:space="preserve">A visual representation of the monthly revenue trend will be included in the dashboard as part of Task 4.</w:t>
      </w:r>
    </w:p>
    <w:p>
      <w:pPr>
        <w:pStyle w:val="Heading1"/>
        <w:spacing w:after="140" w:before="360"/>
      </w:pPr>
      <w:r>
        <w:rPr>
          <w:rFonts w:ascii="Times New Roman" w:cs="Times New Roman" w:eastAsia="Times New Roman" w:hAnsi="Times New Roman"/>
          <w:b/>
          <w:bCs/>
          <w:color w:val="1B3A6B"/>
          <w:sz w:val="28"/>
          <w:szCs w:val="28"/>
        </w:rPr>
        <w:t xml:space="preserve">7.  Conclusion</w:t>
      </w:r>
    </w:p>
    <w:p>
      <w:pPr>
        <w:spacing w:after="140" w:before="0"/>
        <w:jc w:val="both"/>
      </w:pPr>
      <w:r>
        <w:rPr>
          <w:rFonts w:ascii="Times New Roman" w:cs="Times New Roman" w:eastAsia="Times New Roman" w:hAnsi="Times New Roman"/>
          <w:b w:val="false"/>
          <w:bCs w:val="false"/>
          <w:i w:val="false"/>
          <w:iCs w:val="false"/>
          <w:color w:val="000000"/>
          <w:sz w:val="20"/>
          <w:szCs w:val="20"/>
        </w:rPr>
        <w:t xml:space="preserve">The exploratory data analysis has uncovered several important patterns within the E-Commerce Orders dataset. TotalPrice is right-skewed, driven by a small number of high-value orders that represent a VIP customer segment. Product revenue is well balanced across all seven products, with Laptop showing the most potential for growth. Credit Card customers are the highest spenders, and Instagram is the most effective acquisition channel.</w:t>
      </w:r>
    </w:p>
    <w:p>
      <w:pPr>
        <w:spacing w:after="140" w:before="0"/>
        <w:jc w:val="both"/>
      </w:pPr>
      <w:r>
        <w:rPr>
          <w:rFonts w:ascii="Times New Roman" w:cs="Times New Roman" w:eastAsia="Times New Roman" w:hAnsi="Times New Roman"/>
          <w:b w:val="false"/>
          <w:bCs w:val="false"/>
          <w:i w:val="false"/>
          <w:iCs w:val="false"/>
          <w:color w:val="000000"/>
          <w:sz w:val="20"/>
          <w:szCs w:val="20"/>
        </w:rPr>
        <w:t xml:space="preserve">The most critical finding is the order fulfilment rate. Only 19.25% of orders are successfully delivered, while 41.4% are either cancelled or returned, resulting in approximately $519,673 in lost revenue. This is the most urgent issue identified in the analysis and should be the top priority for the business going forward.</w:t>
      </w:r>
    </w:p>
    <w:p>
      <w:pPr>
        <w:pBdr>
          <w:top w:val="single" w:color="CCCCCC" w:sz="4" w:space="1"/>
        </w:pBdr>
        <w:spacing w:before="400"/>
      </w:pPr>
      <w:r>
        <w:rPr>
          <w:rFonts w:ascii="Times New Roman" w:cs="Times New Roman" w:eastAsia="Times New Roman" w:hAnsi="Times New Roman"/>
          <w:color w:val="999999"/>
          <w:sz w:val="16"/>
          <w:szCs w:val="16"/>
        </w:rPr>
        <w:t xml:space="preserve">DecodeLabs  |  Industrial Training Kit  |  Batch 2026  |  Project 2: Exploratory Data Analysis  |  Page </w:t>
      </w: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Times New Roman" w:cs="Times New Roman" w:eastAsia="Times New Roman" w:hAnsi="Times New Roman"/>
      <w:b/>
      <w:bCs/>
      <w:color w:val="1B3A6B"/>
      <w:sz w:val="28"/>
      <w:szCs w:val="28"/>
    </w:rPr>
  </w:style>
  <w:style w:type="paragraph" w:styleId="Heading2">
    <w:name w:val="Heading 2"/>
    <w:basedOn w:val="Normal"/>
    <w:next w:val="Normal"/>
    <w:qFormat/>
    <w:pPr>
      <w:spacing w:after="100" w:before="220"/>
      <w:outlineLvl w:val="1"/>
    </w:pPr>
    <w:rPr>
      <w:rFonts w:ascii="Times New Roman" w:cs="Times New Roman" w:eastAsia="Times New Roman" w:hAnsi="Times New Roman"/>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2026-06-07T00:25:28.723Z</dcterms:created>
  <dcterms:modified xsi:type="dcterms:W3CDTF">2026-06-07T00:25:28.723Z</dcterms:modified>
</cp:coreProperties>
</file>

<file path=docProps/custom.xml><?xml version="1.0" encoding="utf-8"?>
<Properties xmlns="http://schemas.openxmlformats.org/officeDocument/2006/custom-properties" xmlns:vt="http://schemas.openxmlformats.org/officeDocument/2006/docPropsVTypes"/>
</file>