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4fa0" w:val="clear"/>
        <w:spacing w:after="0" w:before="2268"/>
        <w:jc w:val="center"/>
      </w:pPr>
    </w:p>
    <w:p>
      <w:pPr>
        <w:shd w:fill="1a4fa0" w:val="clear"/>
        <w:spacing w:after="0" w:before="0"/>
        <w:jc w:val="center"/>
      </w:pPr>
      <w:r>
        <w:rPr>
          <w:rFonts w:ascii="Arial" w:cs="Arial" w:eastAsia="Arial" w:hAnsi="Arial"/>
          <w:b/>
          <w:bCs/>
          <w:color w:val="FFFFFF"/>
          <w:sz w:val="44"/>
          <w:szCs w:val="44"/>
        </w:rPr>
        <w:t xml:space="preserve">تقرير تحليل البيانات اللوجستية</w:t>
      </w:r>
    </w:p>
    <w:p>
      <w:pPr>
        <w:shd w:fill="1a4fa0" w:val="clear"/>
        <w:spacing w:after="0" w:before="0"/>
        <w:jc w:val="center"/>
      </w:pPr>
      <w:r>
        <w:rPr>
          <w:rFonts w:ascii="Arial" w:cs="Arial" w:eastAsia="Arial" w:hAnsi="Arial"/>
          <w:color w:val="BDD7EE"/>
          <w:sz w:val="22"/>
          <w:szCs w:val="22"/>
        </w:rPr>
        <w:t xml:space="preserve">Transportation &amp; Logistics Tracking — Exploratory Data Analysis</w:t>
      </w:r>
    </w:p>
    <w:p>
      <w:pPr>
        <w:shd w:fill="1a4fa0" w:val="clear"/>
        <w:spacing w:after="284" w:before="284"/>
        <w:jc w:val="center"/>
      </w:pPr>
      <w:r>
        <w:rPr>
          <w:rFonts w:ascii="Arial" w:cs="Arial" w:eastAsia="Arial" w:hAnsi="Arial"/>
          <w:color w:val="ED7D31"/>
          <w:sz w:val="20"/>
          <w:szCs w:val="20"/>
        </w:rPr>
        <w:t xml:space="preserve">━━━━━━━━━━━━━━━━━━━━━━━━━━━━━━</w:t>
      </w:r>
    </w:p>
    <w:p>
      <w:pPr>
        <w:shd w:fill="1a4fa0" w:val="clear"/>
        <w:spacing w:after="0" w:before="0"/>
        <w:jc w:val="center"/>
      </w:pPr>
      <w:r>
        <w:rPr>
          <w:rFonts w:ascii="Arial" w:cs="Arial" w:eastAsia="Arial" w:hAnsi="Arial"/>
          <w:b/>
          <w:bCs/>
          <w:color w:val="FFFFFF"/>
          <w:sz w:val="26"/>
          <w:szCs w:val="26"/>
        </w:rPr>
        <w:t xml:space="preserve">المحلل: محمد طارق</w:t>
      </w:r>
    </w:p>
    <w:p>
      <w:pPr>
        <w:shd w:fill="1a4fa0" w:val="clear"/>
        <w:spacing w:after="0" w:before="80"/>
        <w:jc w:val="center"/>
      </w:pPr>
      <w:r>
        <w:rPr>
          <w:rFonts w:ascii="Arial" w:cs="Arial" w:eastAsia="Arial" w:hAnsi="Arial"/>
          <w:color w:val="BDD7EE"/>
          <w:sz w:val="20"/>
          <w:szCs w:val="20"/>
        </w:rPr>
        <w:t xml:space="preserve">الفترة: مارس 2019 – سبتمبر 2020   |   عدد الشحنات: 6,773 سجل</w:t>
      </w:r>
    </w:p>
    <w:p>
      <w:pPr>
        <w:shd w:fill="1a4fa0" w:val="clear"/>
        <w:spacing w:after="2268" w:before="80"/>
        <w:jc w:val="center"/>
      </w:pPr>
      <w:r>
        <w:rPr>
          <w:rFonts w:ascii="Arial" w:cs="Arial" w:eastAsia="Arial" w:hAnsi="Arial"/>
          <w:color w:val="BDD7EE"/>
          <w:sz w:val="18"/>
          <w:szCs w:val="18"/>
        </w:rPr>
        <w:t xml:space="preserve">32 خاصية تحليلية   |   Python + Pandas + Matplotlib</w:t>
      </w:r>
    </w:p>
    <w:p>
      <w:r>
        <w:br w:type="page"/>
      </w:r>
    </w:p>
    <w:p>
      <w:pPr>
        <w:pBdr>
          <w:bottom w:val="single" w:color="ED7D31" w:sz="8"/>
        </w:pBdr>
        <w:shd w:fill="1a4fa0" w:val="clear"/>
        <w:spacing w:after="160" w:before="280"/>
        <w:ind w:left="170" w:right="170"/>
        <w:jc w:val="right"/>
      </w:pPr>
      <w:r>
        <w:rPr>
          <w:rFonts w:ascii="Arial" w:cs="Arial" w:eastAsia="Arial" w:hAnsi="Arial"/>
          <w:b/>
          <w:bCs/>
          <w:color w:val="FFFFFF"/>
          <w:sz w:val="32"/>
          <w:szCs w:val="32"/>
        </w:rPr>
        <w:t xml:space="preserve">1. الملخص التنفيذي</w:t>
      </w:r>
    </w:p>
    <w:p>
      <w:pPr>
        <w:spacing w:after="0" w:before="0"/>
      </w:pPr>
    </w:p>
    <w:p>
      <w:pPr>
        <w:spacing w:after="60" w:before="60"/>
        <w:jc w:val="right"/>
      </w:pPr>
      <w:r>
        <w:rPr>
          <w:rFonts w:ascii="Arial" w:cs="Arial" w:eastAsia="Arial" w:hAnsi="Arial"/>
          <w:sz w:val="22"/>
          <w:szCs w:val="22"/>
        </w:rPr>
        <w:t xml:space="preserve">يقدّم هذا التقرير نتائج التحليل الاستكشافي الشامل (EDA) لبيانات عمليات الشحن والتوزيع خلال الفترة من مارس 2019 حتى سبتمبر 2020. يغطي التحليل 6,773 سجل شحنة موزّعة على 32 خاصية بيانية، وقد كشف عن مشكلات هيكلية عميقة في الأداء التشغيلي وجودة البيانات.</w:t>
      </w:r>
    </w:p>
    <w:p>
      <w:pPr>
        <w:spacing w:after="0" w:before="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438"/>
        <w:gridCol w:w="2438"/>
        <w:gridCol w:w="2438"/>
        <w:gridCol w:w="2438"/>
      </w:tblGrid>
      <w:tr>
        <w:tc>
          <w:tcPr>
            <w:tcW w:type="dxa" w:w="2438"/>
            <w:tcBorders>
              <w:top w:val="single" w:color="A0B4CC" w:sz="1"/>
              <w:left w:val="single" w:color="A0B4CC" w:sz="1"/>
              <w:bottom w:val="single" w:color="A0B4CC" w:sz="1"/>
              <w:right w:val="single" w:color="A0B4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1a4fa0"/>
                <w:sz w:val="34"/>
                <w:szCs w:val="34"/>
              </w:rPr>
              <w:t xml:space="preserve">6,773</w:t>
            </w:r>
          </w:p>
          <w:p>
            <w:pPr>
              <w:jc w:val="center"/>
            </w:pPr>
            <w:r>
              <w:rPr>
                <w:rFonts w:ascii="Arial" w:cs="Arial" w:eastAsia="Arial" w:hAnsi="Arial"/>
                <w:color w:val="718096"/>
                <w:sz w:val="17"/>
                <w:szCs w:val="17"/>
              </w:rPr>
              <w:t xml:space="preserve">إجمالي الشحنات</w:t>
            </w:r>
          </w:p>
        </w:tc>
        <w:tc>
          <w:tcPr>
            <w:tcW w:type="dxa" w:w="2438"/>
            <w:tcBorders>
              <w:top w:val="single" w:color="A0B4CC" w:sz="1"/>
              <w:left w:val="single" w:color="A0B4CC" w:sz="1"/>
              <w:bottom w:val="single" w:color="A0B4CC" w:sz="1"/>
              <w:right w:val="single" w:color="A0B4CC" w:sz="1"/>
            </w:tcBorders>
            <w:shd w:fill="FDECEA" w:val="clear"/>
            <w:tcMar>
              <w:top w:type="dxa" w:w="100"/>
              <w:left w:type="dxa" w:w="120"/>
              <w:bottom w:type="dxa" w:w="100"/>
              <w:right w:type="dxa" w:w="120"/>
            </w:tcMar>
            <w:vAlign w:val="center"/>
          </w:tcPr>
          <w:p>
            <w:pPr>
              <w:jc w:val="center"/>
            </w:pPr>
            <w:r>
              <w:rPr>
                <w:rFonts w:ascii="Arial" w:cs="Arial" w:eastAsia="Arial" w:hAnsi="Arial"/>
                <w:b/>
                <w:bCs/>
                <w:color w:val="C00000"/>
                <w:sz w:val="34"/>
                <w:szCs w:val="34"/>
              </w:rPr>
              <w:t xml:space="preserve">62.9%</w:t>
            </w:r>
          </w:p>
          <w:p>
            <w:pPr>
              <w:jc w:val="center"/>
            </w:pPr>
            <w:r>
              <w:rPr>
                <w:rFonts w:ascii="Arial" w:cs="Arial" w:eastAsia="Arial" w:hAnsi="Arial"/>
                <w:color w:val="718096"/>
                <w:sz w:val="17"/>
                <w:szCs w:val="17"/>
              </w:rPr>
              <w:t xml:space="preserve">معدل التأخير الكلي</w:t>
            </w:r>
          </w:p>
        </w:tc>
        <w:tc>
          <w:tcPr>
            <w:tcW w:type="dxa" w:w="2438"/>
            <w:tcBorders>
              <w:top w:val="single" w:color="A0B4CC" w:sz="1"/>
              <w:left w:val="single" w:color="A0B4CC" w:sz="1"/>
              <w:bottom w:val="single" w:color="A0B4CC" w:sz="1"/>
              <w:right w:val="single" w:color="A0B4CC" w:sz="1"/>
            </w:tcBorders>
            <w:shd w:fill="EAF4EA" w:val="clear"/>
            <w:tcMar>
              <w:top w:type="dxa" w:w="100"/>
              <w:left w:type="dxa" w:w="120"/>
              <w:bottom w:type="dxa" w:w="100"/>
              <w:right w:type="dxa" w:w="120"/>
            </w:tcMar>
            <w:vAlign w:val="center"/>
          </w:tcPr>
          <w:p>
            <w:pPr>
              <w:jc w:val="center"/>
            </w:pPr>
            <w:r>
              <w:rPr>
                <w:rFonts w:ascii="Arial" w:cs="Arial" w:eastAsia="Arial" w:hAnsi="Arial"/>
                <w:b/>
                <w:bCs/>
                <w:color w:val="375623"/>
                <w:sz w:val="34"/>
                <w:szCs w:val="34"/>
              </w:rPr>
              <w:t xml:space="preserve">2,510</w:t>
            </w:r>
          </w:p>
          <w:p>
            <w:pPr>
              <w:jc w:val="center"/>
            </w:pPr>
            <w:r>
              <w:rPr>
                <w:rFonts w:ascii="Arial" w:cs="Arial" w:eastAsia="Arial" w:hAnsi="Arial"/>
                <w:color w:val="718096"/>
                <w:sz w:val="17"/>
                <w:szCs w:val="17"/>
              </w:rPr>
              <w:t xml:space="preserve">شحنات في الموعد</w:t>
            </w:r>
          </w:p>
        </w:tc>
        <w:tc>
          <w:tcPr>
            <w:tcW w:type="dxa" w:w="2438"/>
            <w:tcBorders>
              <w:top w:val="single" w:color="A0B4CC" w:sz="1"/>
              <w:left w:val="single" w:color="A0B4CC" w:sz="1"/>
              <w:bottom w:val="single" w:color="A0B4CC" w:sz="1"/>
              <w:right w:val="single" w:color="A0B4CC" w:sz="1"/>
            </w:tcBorders>
            <w:shd w:fill="FFF9E6" w:val="clear"/>
            <w:tcMar>
              <w:top w:type="dxa" w:w="100"/>
              <w:left w:type="dxa" w:w="120"/>
              <w:bottom w:type="dxa" w:w="100"/>
              <w:right w:type="dxa" w:w="120"/>
            </w:tcMar>
            <w:vAlign w:val="center"/>
          </w:tcPr>
          <w:p>
            <w:pPr>
              <w:jc w:val="center"/>
            </w:pPr>
            <w:r>
              <w:rPr>
                <w:rFonts w:ascii="Arial" w:cs="Arial" w:eastAsia="Arial" w:hAnsi="Arial"/>
                <w:b/>
                <w:bCs/>
                <w:color w:val="BF8F00"/>
                <w:sz w:val="34"/>
                <w:szCs w:val="34"/>
              </w:rPr>
              <w:t xml:space="preserve">3</w:t>
            </w:r>
          </w:p>
          <w:p>
            <w:pPr>
              <w:jc w:val="center"/>
            </w:pPr>
            <w:r>
              <w:rPr>
                <w:rFonts w:ascii="Arial" w:cs="Arial" w:eastAsia="Arial" w:hAnsi="Arial"/>
                <w:color w:val="718096"/>
                <w:sz w:val="17"/>
                <w:szCs w:val="17"/>
              </w:rPr>
              <w:t xml:space="preserve">مورّدون بتأخير 100%</w:t>
            </w:r>
          </w:p>
        </w:tc>
      </w:tr>
    </w:tbl>
    <w:p>
      <w:pPr>
        <w:spacing w:after="0" w:before="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jc w:val="right"/>
            </w:pPr>
            <w:r>
              <w:rPr>
                <w:rFonts w:ascii="Arial" w:cs="Arial" w:eastAsia="Arial" w:hAnsi="Arial"/>
                <w:color w:val="C00000"/>
                <w:sz w:val="21"/>
                <w:szCs w:val="21"/>
              </w:rPr>
              <w:t xml:space="preserve">🔑 النتيجة الرئيسية: قرابة 2 من كل 3 شحنات تصل متأخرة — وهذا ليس اضطراباً عشوائياً بل فشل ممنهج يمتد عبر الموردين والمسارات وأنواع المركبات وأنظمة التتبع.</w:t>
            </w:r>
          </w:p>
        </w:tc>
      </w:tr>
    </w:tbl>
    <w:p>
      <w:pPr>
        <w:spacing w:after="0" w:before="0"/>
      </w:pPr>
    </w:p>
    <w:p>
      <w:r>
        <w:br w:type="page"/>
      </w:r>
    </w:p>
    <w:p>
      <w:pPr>
        <w:pBdr>
          <w:bottom w:val="single" w:color="ED7D31" w:sz="8"/>
        </w:pBdr>
        <w:shd w:fill="1a4fa0" w:val="clear"/>
        <w:spacing w:after="160" w:before="280"/>
        <w:ind w:left="170" w:right="170"/>
        <w:jc w:val="right"/>
      </w:pPr>
      <w:r>
        <w:rPr>
          <w:rFonts w:ascii="Arial" w:cs="Arial" w:eastAsia="Arial" w:hAnsi="Arial"/>
          <w:b/>
          <w:bCs/>
          <w:color w:val="FFFFFF"/>
          <w:sz w:val="32"/>
          <w:szCs w:val="32"/>
        </w:rPr>
        <w:t xml:space="preserve">2. منهجية العمل</w:t>
      </w:r>
    </w:p>
    <w:p>
      <w:pPr>
        <w:spacing w:after="0" w:before="0"/>
      </w:pPr>
    </w:p>
    <w:p>
      <w:pPr>
        <w:pBdr>
          <w:bottom w:val="single" w:color="2E75B6" w:sz="4"/>
        </w:pBdr>
        <w:spacing w:after="100" w:before="240"/>
        <w:jc w:val="right"/>
      </w:pPr>
      <w:r>
        <w:rPr>
          <w:rFonts w:ascii="Arial" w:cs="Arial" w:eastAsia="Arial" w:hAnsi="Arial"/>
          <w:b/>
          <w:bCs/>
          <w:color w:val="2E75B6"/>
          <w:sz w:val="26"/>
          <w:szCs w:val="26"/>
        </w:rPr>
        <w:t xml:space="preserve">2.1  مصدر البيانات والبنية</w:t>
      </w:r>
    </w:p>
    <w:p>
      <w:pPr>
        <w:spacing w:after="60" w:before="60"/>
        <w:jc w:val="right"/>
      </w:pPr>
      <w:r>
        <w:rPr>
          <w:rFonts w:ascii="Arial" w:cs="Arial" w:eastAsia="Arial" w:hAnsi="Arial"/>
          <w:sz w:val="22"/>
          <w:szCs w:val="22"/>
        </w:rPr>
        <w:t xml:space="preserve">تم الحصول على بيانات الشحن من النظام التشغيلي الداخلي بصيغة Excel، وتحويلها إلى DataFrame باستخدام Python / Pandas لإجراء التحليل الكامل.</w:t>
      </w:r>
    </w:p>
    <w:p>
      <w:pPr>
        <w:spacing w:after="0" w:before="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536"/>
        <w:gridCol w:w="5216"/>
      </w:tblGrid>
      <w:tr>
        <w:trPr>
          <w:tblHeader/>
        </w:trPr>
        <w:tc>
          <w:tcPr>
            <w:tcW w:type="dxa" w:w="453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c>
          <w:tcPr>
            <w:tcW w:type="dxa" w:w="521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المتغير</w:t>
            </w:r>
          </w:p>
        </w:tc>
      </w:tr>
      <w:tr>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6,880 (قبل التنظيف) / 6,773 (بعده)</w:t>
            </w:r>
          </w:p>
        </w:tc>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عدد السجلات</w:t>
            </w:r>
          </w:p>
        </w:tc>
      </w:tr>
      <w:tr>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32 عمود</w:t>
            </w:r>
          </w:p>
        </w:tc>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عدد الخصائص</w:t>
            </w:r>
          </w:p>
        </w:tc>
      </w:tr>
      <w:tr>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مارس 2019 – سبتمبر 2020</w:t>
            </w:r>
          </w:p>
        </w:tc>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الفترة الزمنية</w:t>
            </w:r>
          </w:p>
        </w:tc>
      </w:tr>
      <w:tr>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موردون، عملاء، مركبات، GPS، مسارات</w:t>
            </w:r>
          </w:p>
        </w:tc>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المحاور الرئيسية</w:t>
            </w:r>
          </w:p>
        </w:tc>
      </w:tr>
    </w:tbl>
    <w:p>
      <w:pPr>
        <w:spacing w:after="0" w:before="0"/>
      </w:pPr>
    </w:p>
    <w:p>
      <w:pPr>
        <w:pBdr>
          <w:bottom w:val="single" w:color="2E75B6" w:sz="4"/>
        </w:pBdr>
        <w:spacing w:after="100" w:before="240"/>
        <w:jc w:val="right"/>
      </w:pPr>
      <w:r>
        <w:rPr>
          <w:rFonts w:ascii="Arial" w:cs="Arial" w:eastAsia="Arial" w:hAnsi="Arial"/>
          <w:b/>
          <w:bCs/>
          <w:color w:val="2E75B6"/>
          <w:sz w:val="26"/>
          <w:szCs w:val="26"/>
        </w:rPr>
        <w:t xml:space="preserve">2.2  مراحل التحليل</w:t>
      </w:r>
    </w:p>
    <w:p>
      <w:pPr>
        <w:pStyle w:val="ListParagraph"/>
        <w:numPr>
          <w:ilvl w:val="0"/>
          <w:numId w:val="2"/>
        </w:numPr>
        <w:spacing w:after="40" w:before="40"/>
        <w:jc w:val="right"/>
      </w:pPr>
      <w:r>
        <w:rPr>
          <w:rFonts w:ascii="Arial" w:cs="Arial" w:eastAsia="Arial" w:hAnsi="Arial"/>
          <w:color w:val="1a202c"/>
          <w:sz w:val="21"/>
          <w:szCs w:val="21"/>
        </w:rPr>
        <w:t xml:space="preserve">المرحلة 1 — تحميل البيانات وفهم البنية: استيراد الملف، فحص الأنواع، إحصاءات الوصف الأولي.</w:t>
      </w:r>
    </w:p>
    <w:p>
      <w:pPr>
        <w:pStyle w:val="ListParagraph"/>
        <w:numPr>
          <w:ilvl w:val="0"/>
          <w:numId w:val="2"/>
        </w:numPr>
        <w:spacing w:after="40" w:before="40"/>
        <w:jc w:val="right"/>
      </w:pPr>
      <w:r>
        <w:rPr>
          <w:rFonts w:ascii="Arial" w:cs="Arial" w:eastAsia="Arial" w:hAnsi="Arial"/>
          <w:color w:val="1a202c"/>
          <w:sz w:val="21"/>
          <w:szCs w:val="21"/>
        </w:rPr>
        <w:t xml:space="preserve">المرحلة 2 — تنظيف البيانات: معالجة القيم المفقودة، إزالة التكرارات، توحيد أسماء الموردين والعملاء.</w:t>
      </w:r>
    </w:p>
    <w:p>
      <w:pPr>
        <w:pStyle w:val="ListParagraph"/>
        <w:numPr>
          <w:ilvl w:val="0"/>
          <w:numId w:val="2"/>
        </w:numPr>
        <w:spacing w:after="40" w:before="40"/>
        <w:jc w:val="right"/>
      </w:pPr>
      <w:r>
        <w:rPr>
          <w:rFonts w:ascii="Arial" w:cs="Arial" w:eastAsia="Arial" w:hAnsi="Arial"/>
          <w:color w:val="1a202c"/>
          <w:sz w:val="21"/>
          <w:szCs w:val="21"/>
        </w:rPr>
        <w:t xml:space="preserve">المرحلة 3 — هندسة الميزات: إنشاء أعمدة مشتقة (delivery_status، شرائح المسافة، اليوم والشهر).</w:t>
      </w:r>
    </w:p>
    <w:p>
      <w:pPr>
        <w:pStyle w:val="ListParagraph"/>
        <w:numPr>
          <w:ilvl w:val="0"/>
          <w:numId w:val="2"/>
        </w:numPr>
        <w:spacing w:after="40" w:before="40"/>
        <w:jc w:val="right"/>
      </w:pPr>
      <w:r>
        <w:rPr>
          <w:rFonts w:ascii="Arial" w:cs="Arial" w:eastAsia="Arial" w:hAnsi="Arial"/>
          <w:color w:val="1a202c"/>
          <w:sz w:val="21"/>
          <w:szCs w:val="21"/>
        </w:rPr>
        <w:t xml:space="preserve">المرحلة 4 — التحليل الاستكشافي متعدد المحاور: التأخير عبر الزمن، الموردين، العملاء، المركبات، GPS، الجغرافيا.</w:t>
      </w:r>
    </w:p>
    <w:p>
      <w:pPr>
        <w:pStyle w:val="ListParagraph"/>
        <w:numPr>
          <w:ilvl w:val="0"/>
          <w:numId w:val="2"/>
        </w:numPr>
        <w:spacing w:after="40" w:before="40"/>
        <w:jc w:val="right"/>
      </w:pPr>
      <w:r>
        <w:rPr>
          <w:rFonts w:ascii="Arial" w:cs="Arial" w:eastAsia="Arial" w:hAnsi="Arial"/>
          <w:color w:val="1a202c"/>
          <w:sz w:val="21"/>
          <w:szCs w:val="21"/>
        </w:rPr>
        <w:t xml:space="preserve">المرحلة 5 — التحليل المكاني: رسم الخرائط الجغرافية للأصول والوجهات باستخدام إحداثيات GPS.</w:t>
      </w:r>
    </w:p>
    <w:p>
      <w:pPr>
        <w:pStyle w:val="ListParagraph"/>
        <w:numPr>
          <w:ilvl w:val="0"/>
          <w:numId w:val="2"/>
        </w:numPr>
        <w:spacing w:after="40" w:before="40"/>
        <w:jc w:val="right"/>
      </w:pPr>
      <w:r>
        <w:rPr>
          <w:rFonts w:ascii="Arial" w:cs="Arial" w:eastAsia="Arial" w:hAnsi="Arial"/>
          <w:color w:val="1a202c"/>
          <w:sz w:val="21"/>
          <w:szCs w:val="21"/>
        </w:rPr>
        <w:t xml:space="preserve">المرحلة 6 — استخلاص الرؤى والتوصيات: تحديد المشكلات الجذرية ووضع خطة تدخل مرحلية.</w:t>
      </w:r>
    </w:p>
    <w:p>
      <w:pPr>
        <w:spacing w:after="0" w:before="0"/>
      </w:pPr>
    </w:p>
    <w:p>
      <w:pPr>
        <w:pBdr>
          <w:bottom w:val="single" w:color="2E75B6" w:sz="4"/>
        </w:pBdr>
        <w:spacing w:after="100" w:before="240"/>
        <w:jc w:val="right"/>
      </w:pPr>
      <w:r>
        <w:rPr>
          <w:rFonts w:ascii="Arial" w:cs="Arial" w:eastAsia="Arial" w:hAnsi="Arial"/>
          <w:b/>
          <w:bCs/>
          <w:color w:val="2E75B6"/>
          <w:sz w:val="26"/>
          <w:szCs w:val="26"/>
        </w:rPr>
        <w:t xml:space="preserve">2.3  الأدوات المستخدمة</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5216"/>
        <w:gridCol w:w="4536"/>
      </w:tblGrid>
      <w:tr>
        <w:trPr>
          <w:tblHeader/>
        </w:trPr>
        <w:tc>
          <w:tcPr>
            <w:tcW w:type="dxa" w:w="521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الغرض</w:t>
            </w:r>
          </w:p>
        </w:tc>
        <w:tc>
          <w:tcPr>
            <w:tcW w:type="dxa" w:w="453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الأداة</w:t>
            </w:r>
          </w:p>
        </w:tc>
      </w:tr>
      <w:tr>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تحليل البيانات والإحصاء</w:t>
            </w:r>
          </w:p>
        </w:tc>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Python 3.x — Pandas / NumPy</w:t>
            </w:r>
          </w:p>
        </w:tc>
      </w:tr>
      <w:tr>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التصوير البياني</w:t>
            </w:r>
          </w:p>
        </w:tc>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Matplotlib / Seaborn / Plotly</w:t>
            </w:r>
          </w:p>
        </w:tc>
      </w:tr>
      <w:tr>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الخرائط الجغرافية</w:t>
            </w:r>
          </w:p>
        </w:tc>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Folium / Geopandas</w:t>
            </w:r>
          </w:p>
        </w:tc>
      </w:tr>
      <w:tr>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بيئة العمل</w:t>
            </w:r>
          </w:p>
        </w:tc>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Jupyter Notebook</w:t>
            </w:r>
          </w:p>
        </w:tc>
      </w:tr>
      <w:tr>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استخراج النتائج</w:t>
            </w:r>
          </w:p>
        </w:tc>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Excel + HTML Dashboard</w:t>
            </w:r>
          </w:p>
        </w:tc>
      </w:tr>
    </w:tbl>
    <w:p>
      <w:pPr>
        <w:spacing w:after="0" w:before="0"/>
      </w:pPr>
    </w:p>
    <w:p>
      <w:r>
        <w:br w:type="page"/>
      </w:r>
    </w:p>
    <w:p>
      <w:pPr>
        <w:pBdr>
          <w:bottom w:val="single" w:color="ED7D31" w:sz="8"/>
        </w:pBdr>
        <w:shd w:fill="1a4fa0" w:val="clear"/>
        <w:spacing w:after="160" w:before="280"/>
        <w:ind w:left="170" w:right="170"/>
        <w:jc w:val="right"/>
      </w:pPr>
      <w:r>
        <w:rPr>
          <w:rFonts w:ascii="Arial" w:cs="Arial" w:eastAsia="Arial" w:hAnsi="Arial"/>
          <w:b/>
          <w:bCs/>
          <w:color w:val="FFFFFF"/>
          <w:sz w:val="32"/>
          <w:szCs w:val="32"/>
        </w:rPr>
        <w:t xml:space="preserve">3. المشكلات الرئيسية المكتشفة</w:t>
      </w:r>
    </w:p>
    <w:p>
      <w:pPr>
        <w:spacing w:after="0" w:before="0"/>
      </w:pPr>
    </w:p>
    <w:p>
      <w:pPr>
        <w:pBdr>
          <w:bottom w:val="single" w:color="C00000" w:sz="4"/>
        </w:pBdr>
        <w:spacing w:after="100" w:before="240"/>
        <w:jc w:val="right"/>
      </w:pPr>
      <w:r>
        <w:rPr>
          <w:rFonts w:ascii="Arial" w:cs="Arial" w:eastAsia="Arial" w:hAnsi="Arial"/>
          <w:b/>
          <w:bCs/>
          <w:color w:val="C00000"/>
          <w:sz w:val="26"/>
          <w:szCs w:val="26"/>
        </w:rPr>
        <w:t xml:space="preserve">🚨 المشكلة 1: أزمة تأخير ممنهجة — 62.9% معدل تأخير إجمالي</w:t>
      </w:r>
    </w:p>
    <w:p>
      <w:pPr>
        <w:spacing w:after="60" w:before="60"/>
        <w:jc w:val="right"/>
      </w:pPr>
      <w:r>
        <w:rPr>
          <w:rFonts w:ascii="Arial" w:cs="Arial" w:eastAsia="Arial" w:hAnsi="Arial"/>
          <w:sz w:val="22"/>
          <w:szCs w:val="22"/>
        </w:rPr>
        <w:t xml:space="preserve">ما يقارب شحنتين من كل ثلاث شحنات تصل متأخرة. وخلال 10 أشهر ضمن الفترة من يوليو 2019 إلى مايو 2020، سجّل النظام معدلات تأخير تراوحت بين 96% و100%، مع عدم وجود سجلات لأبريل 2020، بدون أي تدخل تصحيحي — وهو ما يشير بوضوح إلى غياب أي نظام إنذار مبكر.</w:t>
      </w:r>
    </w:p>
    <w:p>
      <w:pPr>
        <w:spacing w:after="0" w:before="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536"/>
        <w:gridCol w:w="5216"/>
      </w:tblGrid>
      <w:tr>
        <w:trPr>
          <w:tblHeader/>
        </w:trPr>
        <w:tc>
          <w:tcPr>
            <w:tcW w:type="dxa" w:w="453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c>
          <w:tcPr>
            <w:tcW w:type="dxa" w:w="521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المقياس</w:t>
            </w:r>
          </w:p>
        </w:tc>
      </w:tr>
      <w:tr>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62.9%</w:t>
            </w:r>
          </w:p>
        </w:tc>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معدل التأخير الكلي</w:t>
            </w:r>
          </w:p>
        </w:tc>
      </w:tr>
      <w:tr>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4,263 شحنة</w:t>
            </w:r>
          </w:p>
        </w:tc>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الشحنات المتأخرة</w:t>
            </w:r>
          </w:p>
        </w:tc>
      </w:tr>
      <w:tr>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10 أشهر تجاوزت 96%</w:t>
            </w:r>
          </w:p>
        </w:tc>
        <w:tc>
          <w:tcPr>
            <w:tcW w:type="dxa" w:w="5216"/>
            <w:tcBorders>
              <w:top w:val="single" w:color="A0B4CC" w:sz="1"/>
              <w:left w:val="single" w:color="A0B4CC" w:sz="1"/>
              <w:bottom w:val="single" w:color="A0B4CC" w:sz="1"/>
              <w:right w:val="single" w:color="A0B4CC" w:sz="1"/>
            </w:tcBorders>
            <w:shd w:fill="FDECEA" w:val="clear"/>
            <w:tcMar>
              <w:top w:type="dxa" w:w="70"/>
              <w:left w:type="dxa" w:w="120"/>
              <w:bottom w:type="dxa" w:w="70"/>
              <w:right w:type="dxa" w:w="120"/>
            </w:tcMar>
          </w:tcPr>
          <w:p>
            <w:pPr>
              <w:jc w:val="right"/>
            </w:pPr>
            <w:r>
              <w:rPr>
                <w:rFonts w:ascii="Arial" w:cs="Arial" w:eastAsia="Arial" w:hAnsi="Arial"/>
                <w:b/>
                <w:bCs/>
                <w:color w:val="C00000"/>
                <w:sz w:val="19"/>
                <w:szCs w:val="19"/>
              </w:rPr>
              <w:t xml:space="preserve">فترة الأزمة (96–100%)</w:t>
            </w:r>
          </w:p>
        </w:tc>
      </w:tr>
      <w:tr>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أغسطس 2020 — 39.25%</w:t>
            </w:r>
          </w:p>
        </w:tc>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أفضل شهر مسجّل</w:t>
            </w:r>
          </w:p>
        </w:tc>
      </w:tr>
    </w:tbl>
    <w:p>
      <w:pPr>
        <w:spacing w:after="0" w:before="0"/>
      </w:pPr>
    </w:p>
    <w:p>
      <w:pPr>
        <w:pBdr>
          <w:bottom w:val="single" w:color="C00000" w:sz="4"/>
        </w:pBdr>
        <w:spacing w:after="100" w:before="240"/>
        <w:jc w:val="right"/>
      </w:pPr>
      <w:r>
        <w:rPr>
          <w:rFonts w:ascii="Arial" w:cs="Arial" w:eastAsia="Arial" w:hAnsi="Arial"/>
          <w:b/>
          <w:bCs/>
          <w:color w:val="C00000"/>
          <w:sz w:val="26"/>
          <w:szCs w:val="26"/>
        </w:rPr>
        <w:t xml:space="preserve">🕳️ المشكلة 2: أزمة جودة البيانات — كيانات "مجهولة" تخفي الأداء الحقيقي</w:t>
      </w:r>
    </w:p>
    <w:p>
      <w:pPr>
        <w:spacing w:after="60" w:before="60"/>
        <w:jc w:val="right"/>
      </w:pPr>
      <w:r>
        <w:rPr>
          <w:rFonts w:ascii="Arial" w:cs="Arial" w:eastAsia="Arial" w:hAnsi="Arial"/>
          <w:sz w:val="22"/>
          <w:szCs w:val="22"/>
        </w:rPr>
        <w:t xml:space="preserve">10.9% من الشحنات (737 سجل) مسجّلة تحت مورّد "مجهول"، و751 شحنة بلا نوع مركبة. هذه السجلات تُظهر معدل تأخير 37.3% و3.6% على التوالي — وهي أرقام مستحيلة إحصائياً مقارنةً بمتوسط المؤسسة — مما يُرجّح وجود تحايل على نظام الإدخال أو تسجيل بأثر رجعي.</w:t>
      </w:r>
    </w:p>
    <w:p>
      <w:pPr>
        <w:spacing w:after="0" w:before="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FFF9E6" w:val="clear"/>
            <w:tcMar>
              <w:top w:type="dxa" w:w="120"/>
              <w:left w:type="dxa" w:w="200"/>
              <w:bottom w:type="dxa" w:w="120"/>
              <w:right w:type="dxa" w:w="200"/>
            </w:tcMar>
          </w:tcPr>
          <w:p>
            <w:pPr>
              <w:jc w:val="right"/>
            </w:pPr>
            <w:r>
              <w:rPr>
                <w:rFonts w:ascii="Arial" w:cs="Arial" w:eastAsia="Arial" w:hAnsi="Arial"/>
                <w:color w:val="BF8F00"/>
                <w:sz w:val="21"/>
                <w:szCs w:val="21"/>
              </w:rPr>
              <w:t xml:space="preserve">⚠️ السجلات المجهولة ليست بيانات مفقودة بحتة — إنها علامة حمراء على وجود تلاعب في منظومة الإدخال.</w:t>
            </w:r>
          </w:p>
        </w:tc>
      </w:tr>
    </w:tbl>
    <w:p>
      <w:pPr>
        <w:spacing w:after="0" w:before="0"/>
      </w:pPr>
    </w:p>
    <w:p>
      <w:pPr>
        <w:pBdr>
          <w:bottom w:val="single" w:color="C00000" w:sz="4"/>
        </w:pBdr>
        <w:spacing w:after="100" w:before="240"/>
        <w:jc w:val="right"/>
      </w:pPr>
      <w:r>
        <w:rPr>
          <w:rFonts w:ascii="Arial" w:cs="Arial" w:eastAsia="Arial" w:hAnsi="Arial"/>
          <w:b/>
          <w:bCs/>
          <w:color w:val="C00000"/>
          <w:sz w:val="26"/>
          <w:szCs w:val="26"/>
        </w:rPr>
        <w:t xml:space="preserve">📡 المشكلة 3: تشتت نظام GPS — أكثر من 20 مزوّد بلا توحيد</w:t>
      </w:r>
    </w:p>
    <w:p>
      <w:pPr>
        <w:spacing w:after="60" w:before="60"/>
        <w:jc w:val="right"/>
      </w:pPr>
      <w:r>
        <w:rPr>
          <w:rFonts w:ascii="Arial" w:cs="Arial" w:eastAsia="Arial" w:hAnsi="Arial"/>
          <w:sz w:val="22"/>
          <w:szCs w:val="22"/>
        </w:rPr>
        <w:t xml:space="preserve">تستخدم المؤسسة أكثر من 20 مزوّد GPS مختلف دون أي معايير أداء موحّدة. مزودون عدة يسجّلون معدل تأخير 100%، فيما يبلغ معدل التأخير مع التتبع اليدوي (MANUAL) 99% تقريباً. هذا التشتت يجعل المراقبة الفورية وتطبيق اتفاقيات مستوى الخدمة (SLA) شبه مستحيلَين.</w:t>
      </w:r>
    </w:p>
    <w:p>
      <w:pPr>
        <w:spacing w:after="0" w:before="0"/>
      </w:pPr>
    </w:p>
    <w:p>
      <w:pPr>
        <w:pBdr>
          <w:bottom w:val="single" w:color="C00000" w:sz="4"/>
        </w:pBdr>
        <w:spacing w:after="100" w:before="240"/>
        <w:jc w:val="right"/>
      </w:pPr>
      <w:r>
        <w:rPr>
          <w:rFonts w:ascii="Arial" w:cs="Arial" w:eastAsia="Arial" w:hAnsi="Arial"/>
          <w:b/>
          <w:bCs/>
          <w:color w:val="C00000"/>
          <w:sz w:val="26"/>
          <w:szCs w:val="26"/>
        </w:rPr>
        <w:t xml:space="preserve">🚛 المشكلة 4: الموردون في المنطقة الحمراء — تأخير 100%</w:t>
      </w:r>
    </w:p>
    <w:tbl>
      <w:tblPr>
        <w:tblW w:type="dxa" w:w="9753"/>
        <w:tblBorders>
          <w:top w:val="single" w:color="auto" w:sz="4"/>
          <w:left w:val="single" w:color="auto" w:sz="4"/>
          <w:bottom w:val="single" w:color="auto" w:sz="4"/>
          <w:right w:val="single" w:color="auto" w:sz="4"/>
          <w:insideH w:val="single" w:color="auto" w:sz="4"/>
          <w:insideV w:val="single" w:color="auto" w:sz="4"/>
        </w:tblBorders>
      </w:tblPr>
      <w:tblGrid>
        <w:gridCol w:w="2552"/>
        <w:gridCol w:w="2268"/>
        <w:gridCol w:w="4933"/>
      </w:tblGrid>
      <w:tr>
        <w:trPr>
          <w:tblHeader/>
        </w:trPr>
        <w:tc>
          <w:tcPr>
            <w:tcW w:type="dxa" w:w="2552"/>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معدل التأخير</w:t>
            </w:r>
          </w:p>
        </w:tc>
        <w:tc>
          <w:tcPr>
            <w:tcW w:type="dxa" w:w="2268"/>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عدد الرحلات</w:t>
            </w:r>
          </w:p>
        </w:tc>
        <w:tc>
          <w:tcPr>
            <w:tcW w:type="dxa" w:w="4933"/>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اسم المورّد</w:t>
            </w:r>
          </w:p>
        </w:tc>
      </w:tr>
      <w:tr>
        <w:tc>
          <w:tcPr>
            <w:tcW w:type="dxa" w:w="2552"/>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100.0%</w:t>
            </w:r>
          </w:p>
        </w:tc>
        <w:tc>
          <w:tcPr>
            <w:tcW w:type="dxa" w:w="2268"/>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183</w:t>
            </w:r>
          </w:p>
        </w:tc>
        <w:tc>
          <w:tcPr>
            <w:tcW w:type="dxa" w:w="4933"/>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S.B. TRANSPORT COMPANY</w:t>
            </w:r>
          </w:p>
        </w:tc>
      </w:tr>
      <w:tr>
        <w:tc>
          <w:tcPr>
            <w:tcW w:type="dxa" w:w="2552"/>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95.38%</w:t>
            </w:r>
          </w:p>
        </w:tc>
        <w:tc>
          <w:tcPr>
            <w:tcW w:type="dxa" w:w="2268"/>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238</w:t>
            </w:r>
          </w:p>
        </w:tc>
        <w:tc>
          <w:tcPr>
            <w:tcW w:type="dxa" w:w="4933"/>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K.RAMACHANDRAN TRANSPORTS</w:t>
            </w:r>
          </w:p>
        </w:tc>
      </w:tr>
      <w:tr>
        <w:tc>
          <w:tcPr>
            <w:tcW w:type="dxa" w:w="2552"/>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95.1%</w:t>
            </w:r>
          </w:p>
        </w:tc>
        <w:tc>
          <w:tcPr>
            <w:tcW w:type="dxa" w:w="2268"/>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164</w:t>
            </w:r>
          </w:p>
        </w:tc>
        <w:tc>
          <w:tcPr>
            <w:tcW w:type="dxa" w:w="4933"/>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A P R TRAILER SERVICE</w:t>
            </w:r>
          </w:p>
        </w:tc>
      </w:tr>
    </w:tbl>
    <w:p>
      <w:pPr>
        <w:spacing w:after="0" w:before="0"/>
      </w:pPr>
    </w:p>
    <w:p>
      <w:pPr>
        <w:pBdr>
          <w:bottom w:val="single" w:color="C00000" w:sz="4"/>
        </w:pBdr>
        <w:spacing w:after="100" w:before="240"/>
        <w:jc w:val="right"/>
      </w:pPr>
      <w:r>
        <w:rPr>
          <w:rFonts w:ascii="Arial" w:cs="Arial" w:eastAsia="Arial" w:hAnsi="Arial"/>
          <w:b/>
          <w:bCs/>
          <w:color w:val="C00000"/>
          <w:sz w:val="26"/>
          <w:szCs w:val="26"/>
        </w:rPr>
        <w:t xml:space="preserve">👥 المشكلة 5: فشل في تسليم العملاء الرئيسيين</w:t>
      </w:r>
    </w:p>
    <w:tbl>
      <w:tblPr>
        <w:tblW w:type="dxa" w:w="9753"/>
        <w:tblBorders>
          <w:top w:val="single" w:color="auto" w:sz="4"/>
          <w:left w:val="single" w:color="auto" w:sz="4"/>
          <w:bottom w:val="single" w:color="auto" w:sz="4"/>
          <w:right w:val="single" w:color="auto" w:sz="4"/>
          <w:insideH w:val="single" w:color="auto" w:sz="4"/>
          <w:insideV w:val="single" w:color="auto" w:sz="4"/>
        </w:tblBorders>
      </w:tblPr>
      <w:tblGrid>
        <w:gridCol w:w="2552"/>
        <w:gridCol w:w="7201"/>
      </w:tblGrid>
      <w:tr>
        <w:trPr>
          <w:tblHeader/>
        </w:trPr>
        <w:tc>
          <w:tcPr>
            <w:tcW w:type="dxa" w:w="2552"/>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معدل التأخير</w:t>
            </w:r>
          </w:p>
        </w:tc>
        <w:tc>
          <w:tcPr>
            <w:tcW w:type="dxa" w:w="7201"/>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العميل</w:t>
            </w:r>
          </w:p>
        </w:tc>
      </w:tr>
      <w:tr>
        <w:tc>
          <w:tcPr>
            <w:tcW w:type="dxa" w:w="2552"/>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99.1%</w:t>
            </w:r>
          </w:p>
        </w:tc>
        <w:tc>
          <w:tcPr>
            <w:tcW w:type="dxa" w:w="7201"/>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Otis Elevator Company</w:t>
            </w:r>
          </w:p>
        </w:tc>
      </w:tr>
      <w:tr>
        <w:tc>
          <w:tcPr>
            <w:tcW w:type="dxa" w:w="2552"/>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98.0%</w:t>
            </w:r>
          </w:p>
        </w:tc>
        <w:tc>
          <w:tcPr>
            <w:tcW w:type="dxa" w:w="7201"/>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Ericsson India</w:t>
            </w:r>
          </w:p>
        </w:tc>
      </w:tr>
      <w:tr>
        <w:tc>
          <w:tcPr>
            <w:tcW w:type="dxa" w:w="2552"/>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94.2%</w:t>
            </w:r>
          </w:p>
        </w:tc>
        <w:tc>
          <w:tcPr>
            <w:tcW w:type="dxa" w:w="7201"/>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Wipro Enterprises</w:t>
            </w:r>
          </w:p>
        </w:tc>
      </w:tr>
      <w:tr>
        <w:tc>
          <w:tcPr>
            <w:tcW w:type="dxa" w:w="2552"/>
            <w:tcBorders>
              <w:top w:val="single" w:color="A0B4CC" w:sz="1"/>
              <w:left w:val="single" w:color="A0B4CC" w:sz="1"/>
              <w:bottom w:val="single" w:color="A0B4CC" w:sz="1"/>
              <w:right w:val="single" w:color="A0B4CC" w:sz="1"/>
            </w:tcBorders>
            <w:shd w:fill="EAF4EA" w:val="clear"/>
            <w:tcMar>
              <w:top w:type="dxa" w:w="70"/>
              <w:left w:type="dxa" w:w="120"/>
              <w:bottom w:type="dxa" w:w="70"/>
              <w:right w:type="dxa" w:w="120"/>
            </w:tcMar>
          </w:tcPr>
          <w:p>
            <w:pPr>
              <w:jc w:val="right"/>
            </w:pPr>
            <w:r>
              <w:rPr>
                <w:rFonts w:ascii="Arial" w:cs="Arial" w:eastAsia="Arial" w:hAnsi="Arial"/>
                <w:b/>
                <w:bCs/>
                <w:color w:val="375623"/>
                <w:sz w:val="19"/>
                <w:szCs w:val="19"/>
              </w:rPr>
              <w:t xml:space="preserve">10.55%  ✅</w:t>
            </w:r>
          </w:p>
        </w:tc>
        <w:tc>
          <w:tcPr>
            <w:tcW w:type="dxa" w:w="7201"/>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Ashok Leyland Limited — نموذج يُحتذى به</w:t>
            </w:r>
          </w:p>
        </w:tc>
      </w:tr>
    </w:tbl>
    <w:p>
      <w:pPr>
        <w:spacing w:after="60" w:before="60"/>
        <w:jc w:val="right"/>
      </w:pPr>
      <w:r>
        <w:rPr>
          <w:rFonts w:ascii="Arial" w:cs="Arial" w:eastAsia="Arial" w:hAnsi="Arial"/>
          <w:color w:val="375623"/>
          <w:sz w:val="22"/>
          <w:szCs w:val="22"/>
        </w:rPr>
        <w:t xml:space="preserve">نجاح Ashok Leyland في تحقيق 10.55% تأخير على مسارات أطول يُثبت أن المشكلة ليست هيكلية — بل مشكلة إجراءات وانضباط ورقابة فورية.</w:t>
      </w:r>
    </w:p>
    <w:p>
      <w:pPr>
        <w:spacing w:after="0" w:before="0"/>
      </w:pPr>
    </w:p>
    <w:p>
      <w:pPr>
        <w:pBdr>
          <w:bottom w:val="single" w:color="BF8F00" w:sz="4"/>
        </w:pBdr>
        <w:spacing w:after="100" w:before="240"/>
        <w:jc w:val="right"/>
      </w:pPr>
      <w:r>
        <w:rPr>
          <w:rFonts w:ascii="Arial" w:cs="Arial" w:eastAsia="Arial" w:hAnsi="Arial"/>
          <w:b/>
          <w:bCs/>
          <w:color w:val="BF8F00"/>
          <w:sz w:val="26"/>
          <w:szCs w:val="26"/>
        </w:rPr>
        <w:t xml:space="preserve">🚚 المشكلة 6: أسطول الشاحنات الثقيل — اختناق في المحاور</w:t>
      </w:r>
    </w:p>
    <w:p>
      <w:pPr>
        <w:spacing w:after="60" w:before="60"/>
        <w:jc w:val="right"/>
      </w:pPr>
      <w:r>
        <w:rPr>
          <w:rFonts w:ascii="Arial" w:cs="Arial" w:eastAsia="Arial" w:hAnsi="Arial"/>
          <w:sz w:val="22"/>
          <w:szCs w:val="22"/>
        </w:rPr>
        <w:t xml:space="preserve">أكثر أنواع المركبات استخداماً (40 FT 3XL Trailer — 2,559 رحلة) يُسجّل معدل تأخير 80.81% على مسافة متوسطها 92.3 كم فقط. هذا يؤكد أن المشكلة تكمن في منظومة التحميل والتفريغ في المحاور، وليس في رحلة النقل نفسها.</w:t>
      </w:r>
    </w:p>
    <w:p>
      <w:pPr>
        <w:spacing w:after="0" w:before="0"/>
      </w:pPr>
    </w:p>
    <w:p>
      <w:pPr>
        <w:pBdr>
          <w:bottom w:val="single" w:color="BF8F00" w:sz="4"/>
        </w:pBdr>
        <w:spacing w:after="100" w:before="240"/>
        <w:jc w:val="right"/>
      </w:pPr>
      <w:r>
        <w:rPr>
          <w:rFonts w:ascii="Arial" w:cs="Arial" w:eastAsia="Arial" w:hAnsi="Arial"/>
          <w:b/>
          <w:bCs/>
          <w:color w:val="BF8F00"/>
          <w:sz w:val="26"/>
          <w:szCs w:val="26"/>
        </w:rPr>
        <w:t xml:space="preserve">🗺️ المشكلة 7: خلل جغرافي — عودة فارغة من الشرق</w:t>
      </w:r>
    </w:p>
    <w:p>
      <w:pPr>
        <w:spacing w:after="60" w:before="60"/>
        <w:jc w:val="right"/>
      </w:pPr>
      <w:r>
        <w:rPr>
          <w:rFonts w:ascii="Arial" w:cs="Arial" w:eastAsia="Arial" w:hAnsi="Arial"/>
          <w:sz w:val="22"/>
          <w:szCs w:val="22"/>
        </w:rPr>
        <w:t xml:space="preserve">المنطقة الشرقية (خط طول أكبر من 85°) تعمل حصرياً كمنطقة استقبال دون شحنات عودة. المركبات تُكمل رحلات العودة فارغة — وهو تكلفة خفية لا يمكن قياسها دون قاعدة بيانات مركزية.</w:t>
      </w:r>
    </w:p>
    <w:p>
      <w:pPr>
        <w:spacing w:after="0" w:before="0"/>
      </w:pPr>
    </w:p>
    <w:p>
      <w:r>
        <w:br w:type="page"/>
      </w:r>
    </w:p>
    <w:p>
      <w:pPr>
        <w:pBdr>
          <w:bottom w:val="single" w:color="ED7D31" w:sz="8"/>
        </w:pBdr>
        <w:shd w:fill="1a4fa0" w:val="clear"/>
        <w:spacing w:after="160" w:before="280"/>
        <w:ind w:left="170" w:right="170"/>
        <w:jc w:val="right"/>
      </w:pPr>
      <w:r>
        <w:rPr>
          <w:rFonts w:ascii="Arial" w:cs="Arial" w:eastAsia="Arial" w:hAnsi="Arial"/>
          <w:b/>
          <w:bCs/>
          <w:color w:val="FFFFFF"/>
          <w:sz w:val="32"/>
          <w:szCs w:val="32"/>
        </w:rPr>
        <w:t xml:space="preserve">4. التوصيات والحلول</w:t>
      </w:r>
    </w:p>
    <w:p>
      <w:pPr>
        <w:spacing w:after="0" w:before="0"/>
      </w:pPr>
    </w:p>
    <w:p>
      <w:pPr>
        <w:pBdr>
          <w:bottom w:val="single" w:color="C00000" w:sz="4"/>
        </w:pBdr>
        <w:spacing w:after="100" w:before="240"/>
        <w:jc w:val="right"/>
      </w:pPr>
      <w:r>
        <w:rPr>
          <w:rFonts w:ascii="Arial" w:cs="Arial" w:eastAsia="Arial" w:hAnsi="Arial"/>
          <w:b/>
          <w:bCs/>
          <w:color w:val="C00000"/>
          <w:sz w:val="26"/>
          <w:szCs w:val="26"/>
        </w:rPr>
        <w:t xml:space="preserve">🚨 الأولوية الأولى — إجراءات فورية (0–30 يوم)</w:t>
      </w:r>
    </w:p>
    <w:p>
      <w:pPr>
        <w:spacing w:after="60" w:before="180"/>
        <w:jc w:val="right"/>
      </w:pPr>
      <w:r>
        <w:rPr>
          <w:rFonts w:ascii="Arial" w:cs="Arial" w:eastAsia="Arial" w:hAnsi="Arial"/>
          <w:b/>
          <w:bCs/>
          <w:color w:val="1a4fa0"/>
          <w:sz w:val="23"/>
          <w:szCs w:val="23"/>
        </w:rPr>
        <w:t xml:space="preserve">التوصية 1: إيقاف أو مراجعة الموردين ذوي التأخير 100%</w:t>
      </w:r>
    </w:p>
    <w:p>
      <w:pPr>
        <w:spacing w:after="60" w:before="60"/>
        <w:jc w:val="right"/>
      </w:pPr>
      <w:r>
        <w:rPr>
          <w:rFonts w:ascii="Arial" w:cs="Arial" w:eastAsia="Arial" w:hAnsi="Arial"/>
          <w:sz w:val="22"/>
          <w:szCs w:val="22"/>
        </w:rPr>
        <w:t xml:space="preserve">إصدار إشعارات أداء رسمية لـ S.B. Transport وK.Ramachandran وAPR Trailer. تجميد الحجوزات الجديدة حتى اكتمال التدقيق. إعادة توزيع الحجم الفوري على الناقلين ذوي الأداء العالي.</w:t>
      </w:r>
    </w:p>
    <w:p>
      <w:pPr>
        <w:spacing w:after="60" w:before="180"/>
        <w:jc w:val="right"/>
      </w:pPr>
      <w:r>
        <w:rPr>
          <w:rFonts w:ascii="Arial" w:cs="Arial" w:eastAsia="Arial" w:hAnsi="Arial"/>
          <w:b/>
          <w:bCs/>
          <w:color w:val="1a4fa0"/>
          <w:sz w:val="23"/>
          <w:szCs w:val="23"/>
        </w:rPr>
        <w:t xml:space="preserve">التوصية 2: إلغاء التتبع اليدوي</w:t>
      </w:r>
    </w:p>
    <w:p>
      <w:pPr>
        <w:spacing w:after="60" w:before="60"/>
        <w:jc w:val="right"/>
      </w:pPr>
      <w:r>
        <w:rPr>
          <w:rFonts w:ascii="Arial" w:cs="Arial" w:eastAsia="Arial" w:hAnsi="Arial"/>
          <w:sz w:val="22"/>
          <w:szCs w:val="22"/>
        </w:rPr>
        <w:t xml:space="preserve">ترحيل جميع الشحنات المتتبَّعة يدوياً إلى مزوّدي GPS رقميين. وضع قائمة بيضاء بالمزوّدين المعتمدين بحد أدنى للأداء ≤ 50% معدل تأخير، مع رفض تلقائي لأي مزوّد غير مُدرج عند الحجز.</w:t>
      </w:r>
    </w:p>
    <w:p>
      <w:pPr>
        <w:spacing w:after="60" w:before="180"/>
        <w:jc w:val="right"/>
      </w:pPr>
      <w:r>
        <w:rPr>
          <w:rFonts w:ascii="Arial" w:cs="Arial" w:eastAsia="Arial" w:hAnsi="Arial"/>
          <w:b/>
          <w:bCs/>
          <w:color w:val="1a4fa0"/>
          <w:sz w:val="23"/>
          <w:szCs w:val="23"/>
        </w:rPr>
        <w:t xml:space="preserve">التوصية 3: إلزامية حقول البيانات الأساسية</w:t>
      </w:r>
    </w:p>
    <w:p>
      <w:pPr>
        <w:spacing w:after="60" w:before="60"/>
        <w:jc w:val="right"/>
      </w:pPr>
      <w:r>
        <w:rPr>
          <w:rFonts w:ascii="Arial" w:cs="Arial" w:eastAsia="Arial" w:hAnsi="Arial"/>
          <w:sz w:val="22"/>
          <w:szCs w:val="22"/>
        </w:rPr>
        <w:t xml:space="preserve">فرض التحقق من عدم الفراغ عند إدخال البيانات لحقول: اسم السائق، رقم هاتفه، نوع المركبة، وكود المورّد. قيود على مستوى قاعدة البيانات تمنع الإرسال بدون معرّفات صالحة.</w:t>
      </w:r>
    </w:p>
    <w:p>
      <w:pPr>
        <w:spacing w:after="0" w:before="0"/>
      </w:pPr>
    </w:p>
    <w:p>
      <w:pPr>
        <w:pBdr>
          <w:bottom w:val="single" w:color="BF8F00" w:sz="4"/>
        </w:pBdr>
        <w:spacing w:after="100" w:before="240"/>
        <w:jc w:val="right"/>
      </w:pPr>
      <w:r>
        <w:rPr>
          <w:rFonts w:ascii="Arial" w:cs="Arial" w:eastAsia="Arial" w:hAnsi="Arial"/>
          <w:b/>
          <w:bCs/>
          <w:color w:val="BF8F00"/>
          <w:sz w:val="26"/>
          <w:szCs w:val="26"/>
        </w:rPr>
        <w:t xml:space="preserve">⚡ الأولوية الثانية — تدخلات قصيرة المدى (30–90 يوم)</w:t>
      </w:r>
    </w:p>
    <w:p>
      <w:pPr>
        <w:spacing w:after="60" w:before="180"/>
        <w:jc w:val="right"/>
      </w:pPr>
      <w:r>
        <w:rPr>
          <w:rFonts w:ascii="Arial" w:cs="Arial" w:eastAsia="Arial" w:hAnsi="Arial"/>
          <w:b/>
          <w:bCs/>
          <w:color w:val="1a4fa0"/>
          <w:sz w:val="23"/>
          <w:szCs w:val="23"/>
        </w:rPr>
        <w:t xml:space="preserve">التوصية 4: إعادة التفاوض على SLA للعملاء الحرجين</w:t>
      </w:r>
    </w:p>
    <w:p>
      <w:pPr>
        <w:spacing w:after="60" w:before="60"/>
        <w:jc w:val="right"/>
      </w:pPr>
      <w:r>
        <w:rPr>
          <w:rFonts w:ascii="Arial" w:cs="Arial" w:eastAsia="Arial" w:hAnsi="Arial"/>
          <w:sz w:val="22"/>
          <w:szCs w:val="22"/>
        </w:rPr>
        <w:t xml:space="preserve">بناء أطر SLA مخصصة لـ Otis Elevator وEricsson وWipro. استنساخ بروتوكولات الممرات عالية الأداء المستخدمة مع Ashok Leyland.</w:t>
      </w:r>
    </w:p>
    <w:p>
      <w:pPr>
        <w:spacing w:after="60" w:before="180"/>
        <w:jc w:val="right"/>
      </w:pPr>
      <w:r>
        <w:rPr>
          <w:rFonts w:ascii="Arial" w:cs="Arial" w:eastAsia="Arial" w:hAnsi="Arial"/>
          <w:b/>
          <w:bCs/>
          <w:color w:val="1a4fa0"/>
          <w:sz w:val="23"/>
          <w:szCs w:val="23"/>
        </w:rPr>
        <w:t xml:space="preserve">التوصية 5: تحسين دوران الشاحنات في المحاور</w:t>
      </w:r>
    </w:p>
    <w:p>
      <w:pPr>
        <w:spacing w:after="60" w:before="60"/>
        <w:jc w:val="right"/>
      </w:pPr>
      <w:r>
        <w:rPr>
          <w:rFonts w:ascii="Arial" w:cs="Arial" w:eastAsia="Arial" w:hAnsi="Arial"/>
          <w:sz w:val="22"/>
          <w:szCs w:val="22"/>
        </w:rPr>
        <w:t xml:space="preserve">تكليف دراسة الوقت والحركة في أبرز 3 محاور (KANCHIPURAM أولاً). الهدف: تقليص وقت الدوران بنسبة 20% خلال 60 يوماً.</w:t>
      </w:r>
    </w:p>
    <w:p>
      <w:pPr>
        <w:spacing w:after="60" w:before="180"/>
        <w:jc w:val="right"/>
      </w:pPr>
      <w:r>
        <w:rPr>
          <w:rFonts w:ascii="Arial" w:cs="Arial" w:eastAsia="Arial" w:hAnsi="Arial"/>
          <w:b/>
          <w:bCs/>
          <w:color w:val="1a4fa0"/>
          <w:sz w:val="23"/>
          <w:szCs w:val="23"/>
        </w:rPr>
        <w:t xml:space="preserve">التوصية 6: توحيد مزوّدي GPS إلى 3–5 شركاء معتمدين</w:t>
      </w:r>
    </w:p>
    <w:p>
      <w:pPr>
        <w:spacing w:after="60" w:before="60"/>
        <w:jc w:val="right"/>
      </w:pPr>
      <w:r>
        <w:rPr>
          <w:rFonts w:ascii="Arial" w:cs="Arial" w:eastAsia="Arial" w:hAnsi="Arial"/>
          <w:sz w:val="22"/>
          <w:szCs w:val="22"/>
        </w:rPr>
        <w:t xml:space="preserve">إصدار طلب عروض (RFP) لمنصة تتبع مركزية تجمع بيانات 3–5 مزوّدين عبر طبقة API موحّدة. حذف المزوّدين الـ15+ ضعيفي الأداء.</w:t>
      </w:r>
    </w:p>
    <w:p>
      <w:pPr>
        <w:spacing w:after="0" w:before="0"/>
      </w:pPr>
    </w:p>
    <w:p>
      <w:pPr>
        <w:pBdr>
          <w:bottom w:val="single" w:color="1a4fa0" w:sz="4"/>
        </w:pBdr>
        <w:spacing w:after="100" w:before="240"/>
        <w:jc w:val="right"/>
      </w:pPr>
      <w:r>
        <w:rPr>
          <w:rFonts w:ascii="Arial" w:cs="Arial" w:eastAsia="Arial" w:hAnsi="Arial"/>
          <w:b/>
          <w:bCs/>
          <w:color w:val="1a4fa0"/>
          <w:sz w:val="26"/>
          <w:szCs w:val="26"/>
        </w:rPr>
        <w:t xml:space="preserve">📊 الأولوية الثالثة — مبادرات استراتيجية (90–180 يوم)</w:t>
      </w:r>
    </w:p>
    <w:p>
      <w:pPr>
        <w:spacing w:after="60" w:before="180"/>
        <w:jc w:val="right"/>
      </w:pPr>
      <w:r>
        <w:rPr>
          <w:rFonts w:ascii="Arial" w:cs="Arial" w:eastAsia="Arial" w:hAnsi="Arial"/>
          <w:b/>
          <w:bCs/>
          <w:color w:val="1a4fa0"/>
          <w:sz w:val="23"/>
          <w:szCs w:val="23"/>
        </w:rPr>
        <w:t xml:space="preserve">التوصية 7: بطاقة أداء الموردين والعقوبات الآلية</w:t>
      </w:r>
    </w:p>
    <w:p>
      <w:pPr>
        <w:spacing w:after="60" w:before="60"/>
        <w:jc w:val="right"/>
      </w:pPr>
      <w:r>
        <w:rPr>
          <w:rFonts w:ascii="Arial" w:cs="Arial" w:eastAsia="Arial" w:hAnsi="Arial"/>
          <w:sz w:val="22"/>
          <w:szCs w:val="22"/>
        </w:rPr>
        <w:t xml:space="preserve">بطاقة أداء شهرية مع محفّزات عقوبات آلية. أي مورّد يتجاوز 70% تأخير لشهرين متتاليين يواجه تخفيضاً تلقائياً في الحجم. البيانات تُغذّى مباشرة من نظام التتبع.</w:t>
      </w:r>
    </w:p>
    <w:p>
      <w:pPr>
        <w:spacing w:after="60" w:before="180"/>
        <w:jc w:val="right"/>
      </w:pPr>
      <w:r>
        <w:rPr>
          <w:rFonts w:ascii="Arial" w:cs="Arial" w:eastAsia="Arial" w:hAnsi="Arial"/>
          <w:b/>
          <w:bCs/>
          <w:color w:val="1a4fa0"/>
          <w:sz w:val="23"/>
          <w:szCs w:val="23"/>
        </w:rPr>
        <w:t xml:space="preserve">التوصية 8: برنامج تحسين رحلات العودة في الشرق</w:t>
      </w:r>
    </w:p>
    <w:p>
      <w:pPr>
        <w:spacing w:after="60" w:before="60"/>
        <w:jc w:val="right"/>
      </w:pPr>
      <w:r>
        <w:rPr>
          <w:rFonts w:ascii="Arial" w:cs="Arial" w:eastAsia="Arial" w:hAnsi="Arial"/>
          <w:sz w:val="22"/>
          <w:szCs w:val="22"/>
        </w:rPr>
        <w:t xml:space="preserve">الشراكة مع موحّدي شحن محليين أو استخدام منصات مطابقة الأحمال لاستثمار ممرات العودة. تحسين استخدام العودة بنسبة 30% يُحقق وفورات ملموسة في تكلفة الرحلة.</w:t>
      </w:r>
    </w:p>
    <w:p>
      <w:pPr>
        <w:spacing w:after="60" w:before="180"/>
        <w:jc w:val="right"/>
      </w:pPr>
      <w:r>
        <w:rPr>
          <w:rFonts w:ascii="Arial" w:cs="Arial" w:eastAsia="Arial" w:hAnsi="Arial"/>
          <w:b/>
          <w:bCs/>
          <w:color w:val="1a4fa0"/>
          <w:sz w:val="23"/>
          <w:szCs w:val="23"/>
        </w:rPr>
        <w:t xml:space="preserve">التوصية 9: نموذج تنبؤي للتأخير (ML)</w:t>
      </w:r>
    </w:p>
    <w:p>
      <w:pPr>
        <w:spacing w:after="60" w:before="60"/>
        <w:jc w:val="right"/>
      </w:pPr>
      <w:r>
        <w:rPr>
          <w:rFonts w:ascii="Arial" w:cs="Arial" w:eastAsia="Arial" w:hAnsi="Arial"/>
          <w:sz w:val="22"/>
          <w:szCs w:val="22"/>
        </w:rPr>
        <w:t xml:space="preserve">بناء نموذج تعلم آلي للتنبؤ باحتمالية التأخير عند الحجز بناءً على: المورّد، المسار، نوع المركبة، شريحة المسافة، ويوم الأسبوع.</w:t>
      </w:r>
    </w:p>
    <w:p>
      <w:pPr>
        <w:spacing w:after="0" w:before="0"/>
      </w:pPr>
    </w:p>
    <w:p>
      <w:r>
        <w:br w:type="page"/>
      </w:r>
    </w:p>
    <w:p>
      <w:pPr>
        <w:pBdr>
          <w:bottom w:val="single" w:color="ED7D31" w:sz="8"/>
        </w:pBdr>
        <w:shd w:fill="1a4fa0" w:val="clear"/>
        <w:spacing w:after="160" w:before="280"/>
        <w:ind w:left="170" w:right="170"/>
        <w:jc w:val="right"/>
      </w:pPr>
      <w:r>
        <w:rPr>
          <w:rFonts w:ascii="Arial" w:cs="Arial" w:eastAsia="Arial" w:hAnsi="Arial"/>
          <w:b/>
          <w:bCs/>
          <w:color w:val="FFFFFF"/>
          <w:sz w:val="32"/>
          <w:szCs w:val="32"/>
        </w:rPr>
        <w:t xml:space="preserve">5. الحاجة إلى نظام قاعدة بيانات تتبع فوري</w:t>
      </w:r>
    </w:p>
    <w:p>
      <w:pPr>
        <w:spacing w:after="0" w:before="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jc w:val="right"/>
            </w:pPr>
            <w:r>
              <w:rPr>
                <w:rFonts w:ascii="Arial" w:cs="Arial" w:eastAsia="Arial" w:hAnsi="Arial"/>
                <w:color w:val="C00000"/>
                <w:sz w:val="21"/>
                <w:szCs w:val="21"/>
              </w:rPr>
              <w:t xml:space="preserve">كل مشكلة تم اكتشافها في هذا التحليل — تأخير 62.9%، موردون مجهولون، بيانات GPS ملتفّ عليها، سائقون غير مسجّلون، موردون بتأخير 100% لأشهر دون تدخل — تشترك في سبب جذري واحد: لا يوجد مصدر حقيقة موحّد وفوري لعمليات اللوجستيك.</w:t>
            </w:r>
          </w:p>
        </w:tc>
      </w:tr>
    </w:tbl>
    <w:p>
      <w:pPr>
        <w:spacing w:after="0" w:before="0"/>
      </w:pPr>
    </w:p>
    <w:p>
      <w:pPr>
        <w:pBdr>
          <w:bottom w:val="single" w:color="2E75B6" w:sz="4"/>
        </w:pBdr>
        <w:spacing w:after="100" w:before="240"/>
        <w:jc w:val="right"/>
      </w:pPr>
      <w:r>
        <w:rPr>
          <w:rFonts w:ascii="Arial" w:cs="Arial" w:eastAsia="Arial" w:hAnsi="Arial"/>
          <w:b/>
          <w:bCs/>
          <w:color w:val="2E75B6"/>
          <w:sz w:val="26"/>
          <w:szCs w:val="26"/>
        </w:rPr>
        <w:t xml:space="preserve">5.1  الأدلة من التحليل</w:t>
      </w:r>
    </w:p>
    <w:tbl>
      <w:tblPr>
        <w:tblW w:type="dxa" w:w="9753"/>
        <w:tblBorders>
          <w:top w:val="single" w:color="auto" w:sz="4"/>
          <w:left w:val="single" w:color="auto" w:sz="4"/>
          <w:bottom w:val="single" w:color="auto" w:sz="4"/>
          <w:right w:val="single" w:color="auto" w:sz="4"/>
          <w:insideH w:val="single" w:color="auto" w:sz="4"/>
          <w:insideV w:val="single" w:color="auto" w:sz="4"/>
        </w:tblBorders>
      </w:tblPr>
      <w:tblGrid>
        <w:gridCol w:w="4253"/>
        <w:gridCol w:w="5500"/>
      </w:tblGrid>
      <w:tr>
        <w:trPr>
          <w:tblHeader/>
        </w:trPr>
        <w:tc>
          <w:tcPr>
            <w:tcW w:type="dxa" w:w="4253"/>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ما كان سيفعله النظام</w:t>
            </w:r>
          </w:p>
        </w:tc>
        <w:tc>
          <w:tcPr>
            <w:tcW w:type="dxa" w:w="5500"/>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الاكتشاف من التحليل</w:t>
            </w:r>
          </w:p>
        </w:tc>
      </w:tr>
      <w:tr>
        <w:tc>
          <w:tcPr>
            <w:tcW w:type="dxa" w:w="4253"/>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تنبيه تلقائي بعد الرحلة الخامسة</w:t>
            </w:r>
          </w:p>
        </w:tc>
        <w:tc>
          <w:tcPr>
            <w:tcW w:type="dxa" w:w="5500"/>
            <w:tcBorders>
              <w:top w:val="single" w:color="A0B4CC" w:sz="1"/>
              <w:left w:val="single" w:color="A0B4CC" w:sz="1"/>
              <w:bottom w:val="single" w:color="A0B4CC" w:sz="1"/>
              <w:right w:val="single" w:color="A0B4CC" w:sz="1"/>
            </w:tcBorders>
            <w:shd w:fill="FDECEA" w:val="clear"/>
            <w:tcMar>
              <w:top w:type="dxa" w:w="70"/>
              <w:left w:type="dxa" w:w="120"/>
              <w:bottom w:type="dxa" w:w="70"/>
              <w:right w:type="dxa" w:w="120"/>
            </w:tcMar>
          </w:tcPr>
          <w:p>
            <w:pPr>
              <w:jc w:val="right"/>
            </w:pPr>
            <w:r>
              <w:rPr>
                <w:rFonts w:ascii="Arial" w:cs="Arial" w:eastAsia="Arial" w:hAnsi="Arial"/>
                <w:b/>
                <w:bCs/>
                <w:color w:val="C00000"/>
                <w:sz w:val="19"/>
                <w:szCs w:val="19"/>
              </w:rPr>
              <w:t xml:space="preserve">S.B. Transport وصل 100% تأخير عبر 183 رحلة</w:t>
            </w:r>
          </w:p>
        </w:tc>
      </w:tr>
      <w:tr>
        <w:tc>
          <w:tcPr>
            <w:tcW w:type="dxa" w:w="4253"/>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منع الإرسال بدون supplierID صالح</w:t>
            </w:r>
          </w:p>
        </w:tc>
        <w:tc>
          <w:tcPr>
            <w:tcW w:type="dxa" w:w="5500"/>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737 رحلة مسجّلة تحت مورّد "مجهول"</w:t>
            </w:r>
          </w:p>
        </w:tc>
      </w:tr>
      <w:tr>
        <w:tc>
          <w:tcPr>
            <w:tcW w:type="dxa" w:w="4253"/>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فرض التحقق من البيانات عند الإدخال</w:t>
            </w:r>
          </w:p>
        </w:tc>
        <w:tc>
          <w:tcPr>
            <w:tcW w:type="dxa" w:w="5500"/>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751 رحلة بدون نوع مركبة</w:t>
            </w:r>
          </w:p>
        </w:tc>
      </w:tr>
      <w:tr>
        <w:tc>
          <w:tcPr>
            <w:tcW w:type="dxa" w:w="4253"/>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لوحة KPI الفورية ترصد الأزمة في اليوم الأول</w:t>
            </w:r>
          </w:p>
        </w:tc>
        <w:tc>
          <w:tcPr>
            <w:tcW w:type="dxa" w:w="5500"/>
            <w:tcBorders>
              <w:top w:val="single" w:color="A0B4CC" w:sz="1"/>
              <w:left w:val="single" w:color="A0B4CC" w:sz="1"/>
              <w:bottom w:val="single" w:color="A0B4CC" w:sz="1"/>
              <w:right w:val="single" w:color="A0B4CC" w:sz="1"/>
            </w:tcBorders>
            <w:shd w:fill="FDECEA" w:val="clear"/>
            <w:tcMar>
              <w:top w:type="dxa" w:w="70"/>
              <w:left w:type="dxa" w:w="120"/>
              <w:bottom w:type="dxa" w:w="70"/>
              <w:right w:type="dxa" w:w="120"/>
            </w:tcMar>
          </w:tcPr>
          <w:p>
            <w:pPr>
              <w:jc w:val="right"/>
            </w:pPr>
            <w:r>
              <w:rPr>
                <w:rFonts w:ascii="Arial" w:cs="Arial" w:eastAsia="Arial" w:hAnsi="Arial"/>
                <w:b/>
                <w:bCs/>
                <w:color w:val="C00000"/>
                <w:sz w:val="19"/>
                <w:szCs w:val="19"/>
              </w:rPr>
              <w:t xml:space="preserve">10 أشهر من 96–100% تأخير قبل أي تصحيح</w:t>
            </w:r>
          </w:p>
        </w:tc>
      </w:tr>
      <w:tr>
        <w:tc>
          <w:tcPr>
            <w:tcW w:type="dxa" w:w="4253"/>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قائمة بيضاء لمزوّدي GPS عند الحجز</w:t>
            </w:r>
          </w:p>
        </w:tc>
        <w:tc>
          <w:tcPr>
            <w:tcW w:type="dxa" w:w="5500"/>
            <w:tcBorders>
              <w:top w:val="single" w:color="A0B4CC" w:sz="1"/>
              <w:left w:val="single" w:color="A0B4CC" w:sz="1"/>
              <w:bottom w:val="single" w:color="A0B4CC" w:sz="1"/>
              <w:right w:val="single" w:color="A0B4CC" w:sz="1"/>
            </w:tcBorders>
            <w:shd w:fill="FDECEA" w:val="clear"/>
            <w:tcMar>
              <w:top w:type="dxa" w:w="70"/>
              <w:left w:type="dxa" w:w="120"/>
              <w:bottom w:type="dxa" w:w="70"/>
              <w:right w:type="dxa" w:w="120"/>
            </w:tcMar>
          </w:tcPr>
          <w:p>
            <w:pPr>
              <w:jc w:val="right"/>
            </w:pPr>
            <w:r>
              <w:rPr>
                <w:rFonts w:ascii="Arial" w:cs="Arial" w:eastAsia="Arial" w:hAnsi="Arial"/>
                <w:b/>
                <w:bCs/>
                <w:color w:val="C00000"/>
                <w:sz w:val="19"/>
                <w:szCs w:val="19"/>
              </w:rPr>
              <w:t xml:space="preserve">التتبع اليدوي بمعدل تأخير ~99%</w:t>
            </w:r>
          </w:p>
        </w:tc>
      </w:tr>
      <w:tr>
        <w:tc>
          <w:tcPr>
            <w:tcW w:type="dxa" w:w="4253"/>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تقارير استخدام المسارات آلياً</w:t>
            </w:r>
          </w:p>
        </w:tc>
        <w:tc>
          <w:tcPr>
            <w:tcW w:type="dxa" w:w="5500"/>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رحلات عودة فارغة من الشرق</w:t>
            </w:r>
          </w:p>
        </w:tc>
      </w:tr>
      <w:tr>
        <w:tc>
          <w:tcPr>
            <w:tcW w:type="dxa" w:w="4253"/>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تنبيه خرق SLA لكل شحنة</w:t>
            </w:r>
          </w:p>
        </w:tc>
        <w:tc>
          <w:tcPr>
            <w:tcW w:type="dxa" w:w="5500"/>
            <w:tcBorders>
              <w:top w:val="single" w:color="A0B4CC" w:sz="1"/>
              <w:left w:val="single" w:color="A0B4CC" w:sz="1"/>
              <w:bottom w:val="single" w:color="A0B4CC" w:sz="1"/>
              <w:right w:val="single" w:color="A0B4CC" w:sz="1"/>
            </w:tcBorders>
            <w:shd w:fill="FDECEA" w:val="clear"/>
            <w:tcMar>
              <w:top w:type="dxa" w:w="70"/>
              <w:left w:type="dxa" w:w="120"/>
              <w:bottom w:type="dxa" w:w="70"/>
              <w:right w:type="dxa" w:w="120"/>
            </w:tcMar>
          </w:tcPr>
          <w:p>
            <w:pPr>
              <w:jc w:val="right"/>
            </w:pPr>
            <w:r>
              <w:rPr>
                <w:rFonts w:ascii="Arial" w:cs="Arial" w:eastAsia="Arial" w:hAnsi="Arial"/>
                <w:b/>
                <w:bCs/>
                <w:color w:val="C00000"/>
                <w:sz w:val="19"/>
                <w:szCs w:val="19"/>
              </w:rPr>
              <w:t xml:space="preserve">Otis/Ericsson/Wipro بتأخير &gt;94%</w:t>
            </w:r>
          </w:p>
        </w:tc>
      </w:tr>
    </w:tbl>
    <w:p>
      <w:pPr>
        <w:spacing w:after="0" w:before="0"/>
      </w:pPr>
    </w:p>
    <w:p>
      <w:pPr>
        <w:pBdr>
          <w:bottom w:val="single" w:color="2E75B6" w:sz="4"/>
        </w:pBdr>
        <w:spacing w:after="100" w:before="240"/>
        <w:jc w:val="right"/>
      </w:pPr>
      <w:r>
        <w:rPr>
          <w:rFonts w:ascii="Arial" w:cs="Arial" w:eastAsia="Arial" w:hAnsi="Arial"/>
          <w:b/>
          <w:bCs/>
          <w:color w:val="2E75B6"/>
          <w:sz w:val="26"/>
          <w:szCs w:val="26"/>
        </w:rPr>
        <w:t xml:space="preserve">5.2  المكوّنات الأساسية للنظام المطلوب</w:t>
      </w:r>
    </w:p>
    <w:p>
      <w:pPr>
        <w:spacing w:after="0" w:before="0"/>
      </w:pPr>
    </w:p>
    <w:p>
      <w:pPr>
        <w:spacing w:after="60" w:before="180"/>
        <w:jc w:val="right"/>
      </w:pPr>
      <w:r>
        <w:rPr>
          <w:rFonts w:ascii="Arial" w:cs="Arial" w:eastAsia="Arial" w:hAnsi="Arial"/>
          <w:b/>
          <w:bCs/>
          <w:color w:val="1a4fa0"/>
          <w:sz w:val="23"/>
          <w:szCs w:val="23"/>
        </w:rPr>
        <w:t xml:space="preserve">الجداول والكيانات الأساسية</w:t>
      </w:r>
    </w:p>
    <w:p>
      <w:pPr>
        <w:pStyle w:val="ListParagraph"/>
        <w:numPr>
          <w:ilvl w:val="0"/>
          <w:numId w:val="2"/>
        </w:numPr>
        <w:spacing w:after="40" w:before="40"/>
        <w:jc w:val="right"/>
      </w:pPr>
      <w:r>
        <w:rPr>
          <w:rFonts w:ascii="Arial" w:cs="Arial" w:eastAsia="Arial" w:hAnsi="Arial"/>
          <w:color w:val="1a202c"/>
          <w:sz w:val="21"/>
          <w:szCs w:val="21"/>
        </w:rPr>
        <w:t xml:space="preserve">الشحنات (Shipments): سجل الحجز الرئيسي مع حقول إلزامية — لا أصفار مسموحة في الأعمدة الحرجة</w:t>
      </w:r>
    </w:p>
    <w:p>
      <w:pPr>
        <w:pStyle w:val="ListParagraph"/>
        <w:numPr>
          <w:ilvl w:val="0"/>
          <w:numId w:val="2"/>
        </w:numPr>
        <w:spacing w:after="40" w:before="40"/>
        <w:jc w:val="right"/>
      </w:pPr>
      <w:r>
        <w:rPr>
          <w:rFonts w:ascii="Arial" w:cs="Arial" w:eastAsia="Arial" w:hAnsi="Arial"/>
          <w:color w:val="1a202c"/>
          <w:sz w:val="21"/>
          <w:szCs w:val="21"/>
        </w:rPr>
        <w:t xml:space="preserve">الموردون (Suppliers): سجل مع درجة الأداء، مستوى SLA، وعلامة الحالة</w:t>
      </w:r>
    </w:p>
    <w:p>
      <w:pPr>
        <w:pStyle w:val="ListParagraph"/>
        <w:numPr>
          <w:ilvl w:val="0"/>
          <w:numId w:val="2"/>
        </w:numPr>
        <w:spacing w:after="40" w:before="40"/>
        <w:jc w:val="right"/>
      </w:pPr>
      <w:r>
        <w:rPr>
          <w:rFonts w:ascii="Arial" w:cs="Arial" w:eastAsia="Arial" w:hAnsi="Arial"/>
          <w:color w:val="1a202c"/>
          <w:sz w:val="21"/>
          <w:szCs w:val="21"/>
        </w:rPr>
        <w:t xml:space="preserve">العملاء (Customers): دليل مع عقود SLA ومستويات الأولوية</w:t>
      </w:r>
    </w:p>
    <w:p>
      <w:pPr>
        <w:pStyle w:val="ListParagraph"/>
        <w:numPr>
          <w:ilvl w:val="0"/>
          <w:numId w:val="2"/>
        </w:numPr>
        <w:spacing w:after="40" w:before="40"/>
        <w:jc w:val="right"/>
      </w:pPr>
      <w:r>
        <w:rPr>
          <w:rFonts w:ascii="Arial" w:cs="Arial" w:eastAsia="Arial" w:hAnsi="Arial"/>
          <w:color w:val="1a202c"/>
          <w:sz w:val="21"/>
          <w:szCs w:val="21"/>
        </w:rPr>
        <w:t xml:space="preserve">المركبات (Vehicles): سجل الأسطول مع التصنيف والطاقة وسجل الصيانة</w:t>
      </w:r>
    </w:p>
    <w:p>
      <w:pPr>
        <w:pStyle w:val="ListParagraph"/>
        <w:numPr>
          <w:ilvl w:val="0"/>
          <w:numId w:val="2"/>
        </w:numPr>
        <w:spacing w:after="40" w:before="40"/>
        <w:jc w:val="right"/>
      </w:pPr>
      <w:r>
        <w:rPr>
          <w:rFonts w:ascii="Arial" w:cs="Arial" w:eastAsia="Arial" w:hAnsi="Arial"/>
          <w:color w:val="1a202c"/>
          <w:sz w:val="21"/>
          <w:szCs w:val="21"/>
        </w:rPr>
        <w:t xml:space="preserve">السائقون (Drivers): سجل مع بيانات الاتصال والرخصة وتاريخ الأداء</w:t>
      </w:r>
    </w:p>
    <w:p>
      <w:pPr>
        <w:pStyle w:val="ListParagraph"/>
        <w:numPr>
          <w:ilvl w:val="0"/>
          <w:numId w:val="2"/>
        </w:numPr>
        <w:spacing w:after="40" w:before="40"/>
        <w:jc w:val="right"/>
      </w:pPr>
      <w:r>
        <w:rPr>
          <w:rFonts w:ascii="Arial" w:cs="Arial" w:eastAsia="Arial" w:hAnsi="Arial"/>
          <w:color w:val="1a202c"/>
          <w:sz w:val="21"/>
          <w:szCs w:val="21"/>
        </w:rPr>
        <w:t xml:space="preserve">نبضات GPS (GPS Pings): جدول سلاسل زمنية مع معرّف المزوّد والختم الزمني والإحداثيات</w:t>
      </w:r>
    </w:p>
    <w:p>
      <w:pPr>
        <w:pStyle w:val="ListParagraph"/>
        <w:numPr>
          <w:ilvl w:val="0"/>
          <w:numId w:val="2"/>
        </w:numPr>
        <w:spacing w:after="40" w:before="40"/>
        <w:jc w:val="right"/>
      </w:pPr>
      <w:r>
        <w:rPr>
          <w:rFonts w:ascii="Arial" w:cs="Arial" w:eastAsia="Arial" w:hAnsi="Arial"/>
          <w:color w:val="1a202c"/>
          <w:sz w:val="21"/>
          <w:szCs w:val="21"/>
        </w:rPr>
        <w:t xml:space="preserve">قواعد SLA: عتبات قابلة للتهيئة لكل مجموعة (عميل/مسار/مركبة)</w:t>
      </w:r>
    </w:p>
    <w:p>
      <w:pPr>
        <w:pStyle w:val="ListParagraph"/>
        <w:numPr>
          <w:ilvl w:val="0"/>
          <w:numId w:val="2"/>
        </w:numPr>
        <w:spacing w:after="40" w:before="40"/>
        <w:jc w:val="right"/>
      </w:pPr>
      <w:r>
        <w:rPr>
          <w:rFonts w:ascii="Arial" w:cs="Arial" w:eastAsia="Arial" w:hAnsi="Arial"/>
          <w:color w:val="1a202c"/>
          <w:sz w:val="21"/>
          <w:szCs w:val="21"/>
        </w:rPr>
        <w:t xml:space="preserve">التنبيهات والتصعيد: سجل أحداث بمتابعة الحل</w:t>
      </w:r>
    </w:p>
    <w:p>
      <w:pPr>
        <w:spacing w:after="0" w:before="0"/>
      </w:pPr>
    </w:p>
    <w:p>
      <w:pPr>
        <w:spacing w:after="60" w:before="180"/>
        <w:jc w:val="right"/>
      </w:pPr>
      <w:r>
        <w:rPr>
          <w:rFonts w:ascii="Arial" w:cs="Arial" w:eastAsia="Arial" w:hAnsi="Arial"/>
          <w:b/>
          <w:bCs/>
          <w:color w:val="1a4fa0"/>
          <w:sz w:val="23"/>
          <w:szCs w:val="23"/>
        </w:rPr>
        <w:t xml:space="preserve">الوظائف الجوهرية للنظام</w:t>
      </w:r>
    </w:p>
    <w:p>
      <w:pPr>
        <w:pStyle w:val="ListParagraph"/>
        <w:numPr>
          <w:ilvl w:val="0"/>
          <w:numId w:val="2"/>
        </w:numPr>
        <w:spacing w:after="40" w:before="40"/>
        <w:jc w:val="right"/>
      </w:pPr>
      <w:r>
        <w:rPr>
          <w:rFonts w:ascii="Arial" w:cs="Arial" w:eastAsia="Arial" w:hAnsi="Arial"/>
          <w:color w:val="1a202c"/>
          <w:sz w:val="21"/>
          <w:szCs w:val="21"/>
        </w:rPr>
        <w:t xml:space="preserve">كشف التأخير الفوري: مقارنة موقع GPS الحالي بجدول المسار؛ الإشارة عند الانحراف ≥ العتبة فوراً</w:t>
      </w:r>
    </w:p>
    <w:p>
      <w:pPr>
        <w:pStyle w:val="ListParagraph"/>
        <w:numPr>
          <w:ilvl w:val="0"/>
          <w:numId w:val="2"/>
        </w:numPr>
        <w:spacing w:after="40" w:before="40"/>
        <w:jc w:val="right"/>
      </w:pPr>
      <w:r>
        <w:rPr>
          <w:rFonts w:ascii="Arial" w:cs="Arial" w:eastAsia="Arial" w:hAnsi="Arial"/>
          <w:color w:val="1a202c"/>
          <w:sz w:val="21"/>
          <w:szCs w:val="21"/>
        </w:rPr>
        <w:t xml:space="preserve">بطاقة أداء الموردين الآلية: إعادة احتساب KPIs يومياً؛ تشغيل سير عمل العقوبات عند العتبات المحددة</w:t>
      </w:r>
    </w:p>
    <w:p>
      <w:pPr>
        <w:pStyle w:val="ListParagraph"/>
        <w:numPr>
          <w:ilvl w:val="0"/>
          <w:numId w:val="2"/>
        </w:numPr>
        <w:spacing w:after="40" w:before="40"/>
        <w:jc w:val="right"/>
      </w:pPr>
      <w:r>
        <w:rPr>
          <w:rFonts w:ascii="Arial" w:cs="Arial" w:eastAsia="Arial" w:hAnsi="Arial"/>
          <w:color w:val="1a202c"/>
          <w:sz w:val="21"/>
          <w:szCs w:val="21"/>
        </w:rPr>
        <w:t xml:space="preserve">فرض سلامة البيانات: قيود على مستوى قاعدة البيانات تمنع القيم الفارغة في الحقول الإلزامية</w:t>
      </w:r>
    </w:p>
    <w:p>
      <w:pPr>
        <w:pStyle w:val="ListParagraph"/>
        <w:numPr>
          <w:ilvl w:val="0"/>
          <w:numId w:val="2"/>
        </w:numPr>
        <w:spacing w:after="40" w:before="40"/>
        <w:jc w:val="right"/>
      </w:pPr>
      <w:r>
        <w:rPr>
          <w:rFonts w:ascii="Arial" w:cs="Arial" w:eastAsia="Arial" w:hAnsi="Arial"/>
          <w:color w:val="1a202c"/>
          <w:sz w:val="21"/>
          <w:szCs w:val="21"/>
        </w:rPr>
        <w:t xml:space="preserve">لوحة SLA للعملاء: عرض التوصيل في الوعد مقابل المتأخر مع عدّادات الخرق لكل عميل</w:t>
      </w:r>
    </w:p>
    <w:p>
      <w:pPr>
        <w:pStyle w:val="ListParagraph"/>
        <w:numPr>
          <w:ilvl w:val="0"/>
          <w:numId w:val="2"/>
        </w:numPr>
        <w:spacing w:after="40" w:before="40"/>
        <w:jc w:val="right"/>
      </w:pPr>
      <w:r>
        <w:rPr>
          <w:rFonts w:ascii="Arial" w:cs="Arial" w:eastAsia="Arial" w:hAnsi="Arial"/>
          <w:color w:val="1a202c"/>
          <w:sz w:val="21"/>
          <w:szCs w:val="21"/>
        </w:rPr>
        <w:t xml:space="preserve">تتبع استخدام الأسطول: موقع المركبة الفوري وتحديد فرص رحلات العودة</w:t>
      </w:r>
    </w:p>
    <w:p>
      <w:pPr>
        <w:pStyle w:val="ListParagraph"/>
        <w:numPr>
          <w:ilvl w:val="0"/>
          <w:numId w:val="2"/>
        </w:numPr>
        <w:spacing w:after="40" w:before="40"/>
        <w:jc w:val="right"/>
      </w:pPr>
      <w:r>
        <w:rPr>
          <w:rFonts w:ascii="Arial" w:cs="Arial" w:eastAsia="Arial" w:hAnsi="Arial"/>
          <w:color w:val="1a202c"/>
          <w:sz w:val="21"/>
          <w:szCs w:val="21"/>
        </w:rPr>
        <w:t xml:space="preserve">طبقة التحليل التاريخي: أرشيف قابل للاستعلام يُغذّي نماذج التنبؤ وتقارير الاتجاهات</w:t>
      </w:r>
    </w:p>
    <w:p>
      <w:pPr>
        <w:spacing w:after="0" w:before="0"/>
      </w:pPr>
    </w:p>
    <w:p>
      <w:pPr>
        <w:pBdr>
          <w:bottom w:val="single" w:color="2E75B6" w:sz="4"/>
        </w:pBdr>
        <w:spacing w:after="100" w:before="240"/>
        <w:jc w:val="right"/>
      </w:pPr>
      <w:r>
        <w:rPr>
          <w:rFonts w:ascii="Arial" w:cs="Arial" w:eastAsia="Arial" w:hAnsi="Arial"/>
          <w:b/>
          <w:bCs/>
          <w:color w:val="2E75B6"/>
          <w:sz w:val="26"/>
          <w:szCs w:val="26"/>
        </w:rPr>
        <w:t xml:space="preserve">5.3  القيمة التجارية المقدّرة</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536"/>
        <w:gridCol w:w="5216"/>
      </w:tblGrid>
      <w:tr>
        <w:trPr>
          <w:tblHeader/>
        </w:trPr>
        <w:tc>
          <w:tcPr>
            <w:tcW w:type="dxa" w:w="453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التأثير المُقدَّر</w:t>
            </w:r>
          </w:p>
        </w:tc>
        <w:tc>
          <w:tcPr>
            <w:tcW w:type="dxa" w:w="5216"/>
            <w:tcBorders>
              <w:top w:val="single" w:color="A0B4CC" w:sz="1"/>
              <w:left w:val="single" w:color="A0B4CC" w:sz="1"/>
              <w:bottom w:val="single" w:color="A0B4CC" w:sz="1"/>
              <w:right w:val="single" w:color="A0B4CC" w:sz="1"/>
            </w:tcBorders>
            <w:shd w:fill="1a4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فئة الفائدة</w:t>
            </w:r>
          </w:p>
        </w:tc>
      </w:tr>
      <w:tr>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توفير تكاليف العقوبات + تحسين الاحتفاظ بالعملاء</w:t>
            </w:r>
          </w:p>
        </w:tc>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تخفيض معدل التأخير من 62.9% إلى هدف 35%</w:t>
            </w:r>
          </w:p>
        </w:tc>
      </w:tr>
      <w:tr>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تقليل جهد التدقيق اليدوي بـ ~70%</w:t>
            </w:r>
          </w:p>
        </w:tc>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أتمتة محاسبة الموردين</w:t>
            </w:r>
          </w:p>
        </w:tc>
      </w:tr>
      <w:tr>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تخفيض 15–30% في تكلفة الرحلة الطويلة</w:t>
            </w:r>
          </w:p>
        </w:tc>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تحسين رحلات العودة (الشرق)</w:t>
            </w:r>
          </w:p>
        </w:tc>
      </w:tr>
      <w:tr>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القضاء على الـ 10.9% من النقطة العمياء من اليوم الأول</w:t>
            </w:r>
          </w:p>
        </w:tc>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فرض جودة البيانات</w:t>
            </w:r>
          </w:p>
        </w:tc>
      </w:tr>
      <w:tr>
        <w:tc>
          <w:tcPr>
            <w:tcW w:type="dxa" w:w="453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من أيام إلى دقائق</w:t>
            </w:r>
          </w:p>
        </w:tc>
        <w:tc>
          <w:tcPr>
            <w:tcW w:type="dxa" w:w="5216"/>
            <w:tcBorders>
              <w:top w:val="single" w:color="A0B4CC" w:sz="1"/>
              <w:left w:val="single" w:color="A0B4CC" w:sz="1"/>
              <w:bottom w:val="single" w:color="A0B4CC" w:sz="1"/>
              <w:right w:val="single" w:color="A0B4CC" w:sz="1"/>
            </w:tcBorders>
            <w:shd w:fill="FFFFFF"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تقليص وقت الاستجابة لأحداث التأخير</w:t>
            </w:r>
          </w:p>
        </w:tc>
      </w:tr>
      <w:tr>
        <w:tc>
          <w:tcPr>
            <w:tcW w:type="dxa" w:w="453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الأساس لتحسين التوزيع بالذكاء الاصطناعي</w:t>
            </w:r>
          </w:p>
        </w:tc>
        <w:tc>
          <w:tcPr>
            <w:tcW w:type="dxa" w:w="5216"/>
            <w:tcBorders>
              <w:top w:val="single" w:color="A0B4CC" w:sz="1"/>
              <w:left w:val="single" w:color="A0B4CC" w:sz="1"/>
              <w:bottom w:val="single" w:color="A0B4CC" w:sz="1"/>
              <w:right w:val="single" w:color="A0B4CC" w:sz="1"/>
            </w:tcBorders>
            <w:shd w:fill="F4F8FD" w:val="clear"/>
            <w:tcMar>
              <w:top w:type="dxa" w:w="70"/>
              <w:left w:type="dxa" w:w="120"/>
              <w:bottom w:type="dxa" w:w="70"/>
              <w:right w:type="dxa" w:w="120"/>
            </w:tcMar>
          </w:tcPr>
          <w:p>
            <w:pPr>
              <w:jc w:val="right"/>
            </w:pPr>
            <w:r>
              <w:rPr>
                <w:rFonts w:ascii="Arial" w:cs="Arial" w:eastAsia="Arial" w:hAnsi="Arial"/>
                <w:b w:val="false"/>
                <w:bCs w:val="false"/>
                <w:color w:val="1a202c"/>
                <w:sz w:val="19"/>
                <w:szCs w:val="19"/>
              </w:rPr>
              <w:t xml:space="preserve">تمكين النموذج التنبؤي</w:t>
            </w:r>
          </w:p>
        </w:tc>
      </w:tr>
    </w:tbl>
    <w:p>
      <w:pPr>
        <w:spacing w:after="0" w:before="0"/>
      </w:pP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EAF4EA" w:val="clear"/>
            <w:tcMar>
              <w:top w:type="dxa" w:w="120"/>
              <w:left w:type="dxa" w:w="200"/>
              <w:bottom w:type="dxa" w:w="120"/>
              <w:right w:type="dxa" w:w="200"/>
            </w:tcMar>
          </w:tcPr>
          <w:p>
            <w:pPr>
              <w:jc w:val="right"/>
            </w:pPr>
            <w:r>
              <w:rPr>
                <w:rFonts w:ascii="Arial" w:cs="Arial" w:eastAsia="Arial" w:hAnsi="Arial"/>
                <w:color w:val="375623"/>
                <w:sz w:val="21"/>
                <w:szCs w:val="21"/>
              </w:rPr>
              <w:t xml:space="preserve">✅ الخلاصة: نظام قاعدة البيانات ليس خياراً تقنياً — إنه الأساس التشغيلي الذي يجعل كل توصية في هذا التقرير قابلة للتنفيذ والقياس والمحاسبة. بدونه، تبقى التحسينات قصصاً. بوجوده، يصبح كل مؤشر في هذا التحليل رقماً حياً مع صاحب ومسؤول وعتبة.</w:t>
            </w:r>
          </w:p>
        </w:tc>
      </w:tr>
    </w:tbl>
    <w:p>
      <w:pPr>
        <w:spacing w:after="0" w:before="0"/>
      </w:pPr>
    </w:p>
    <w:p>
      <w:pPr>
        <w:spacing w:after="0" w:before="0"/>
      </w:pPr>
    </w:p>
    <w:p>
      <w:pPr>
        <w:spacing w:after="80" w:before="80"/>
        <w:jc w:val="center"/>
      </w:pPr>
      <w:r>
        <w:rPr>
          <w:rFonts w:ascii="Arial" w:cs="Arial" w:eastAsia="Arial" w:hAnsi="Arial"/>
          <w:b w:val="false"/>
          <w:bCs w:val="false"/>
          <w:color w:val="A0B4CC"/>
          <w:sz w:val="18"/>
          <w:szCs w:val="18"/>
        </w:rPr>
        <w:t xml:space="preserve">━━━━━━━━━━━━━━━━━━━━━━━━━━━━━━━━━━━━━━━━━━━━━━━━━━━━━━</w:t>
      </w:r>
    </w:p>
    <w:p>
      <w:pPr>
        <w:spacing w:after="40" w:before="80"/>
        <w:jc w:val="center"/>
      </w:pPr>
      <w:r>
        <w:rPr>
          <w:rFonts w:ascii="Arial" w:cs="Arial" w:eastAsia="Arial" w:hAnsi="Arial"/>
          <w:b w:val="false"/>
          <w:bCs w:val="false"/>
          <w:color w:val="718096"/>
          <w:sz w:val="18"/>
          <w:szCs w:val="18"/>
        </w:rPr>
        <w:t xml:space="preserve">نُفِّذ هذا التحليل على بيانات تاريخية ثابتة. كل رؤية في هذا التقرير هي مشكلة كان نظام التتبع الفوري سيكشفها ويُعالجها قبل أشهر.</w:t>
      </w:r>
    </w:p>
    <w:sectPr>
      <w:headerReference w:type="default" r:id="rId7"/>
      <w:footerReference w:type="default" r:id="rId8"/>
      <w:pgSz w:w="12240" w:h="15840"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B4CC" w:sz="4"/>
      </w:pBdr>
      <w:spacing w:after="0" w:before="100"/>
      <w:jc w:val="center"/>
    </w:pPr>
    <w:r>
      <w:rPr>
        <w:rFonts w:ascii="Arial" w:cs="Arial" w:eastAsia="Arial" w:hAnsi="Arial"/>
        <w:color w:val="718096"/>
        <w:sz w:val="16"/>
        <w:szCs w:val="16"/>
      </w:rPr>
      <w:t xml:space="preserve">المحلل: محمد طارق   |   2019–2020   |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before="0"/>
      <w:jc w:val="right"/>
    </w:pPr>
    <w:r>
      <w:rPr>
        <w:rFonts w:ascii="Arial" w:cs="Arial" w:eastAsia="Arial" w:hAnsi="Arial"/>
        <w:color w:val="2E75B6"/>
        <w:sz w:val="18"/>
        <w:szCs w:val="18"/>
      </w:rPr>
      <w:t xml:space="preserve">تقرير تحليل البيانات اللوجستية  |  Transportation &amp; Logistics EDA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2026-06-13T06:05:24.609Z</dcterms:created>
  <dcterms:modified xsi:type="dcterms:W3CDTF">2026-06-13T06:05:24.610Z</dcterms:modified>
</cp:coreProperties>
</file>

<file path=docProps/custom.xml><?xml version="1.0" encoding="utf-8"?>
<Properties xmlns="http://schemas.openxmlformats.org/officeDocument/2006/custom-properties" xmlns:vt="http://schemas.openxmlformats.org/officeDocument/2006/docPropsVTypes"/>
</file>