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4868E6E1" w:rsidR="00F70727" w:rsidRPr="0006032C" w:rsidRDefault="00BC6397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Logan Hotel</w:t>
                </w:r>
              </w:sdtContent>
            </w:sdt>
            <w:r w:rsidR="6A8D9E74" w:rsidRPr="0006032C">
              <w:t xml:space="preserve"> </w:t>
            </w:r>
          </w:p>
          <w:p w14:paraId="2C1A1ED7" w14:textId="24C08608" w:rsidR="6A8D9E74" w:rsidRPr="0006032C" w:rsidRDefault="00BC6397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Mohamed Zonkol</w:t>
                </w:r>
                <w:r w:rsidR="6A8D9E74" w:rsidRPr="0006032C">
                  <w:t xml:space="preserve"> </w:t>
                </w:r>
                <w:r>
                  <w:t>Zag 1167</w:t>
                </w:r>
              </w:sdtContent>
            </w:sdt>
          </w:p>
          <w:p w14:paraId="3EA5A735" w14:textId="26EE5857" w:rsidR="00F70727" w:rsidRPr="0006032C" w:rsidRDefault="00BC6397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>
              <w:t xml:space="preserve"> +201029054588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BC6397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BC6397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BC6397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BC6397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C6397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2024-04-13T22:49:00Z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