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600"/>
              <w:left w:type="dxa" w:w="400"/>
              <w:bottom w:type="dxa" w:w="600"/>
              <w:right w:type="dxa" w:w="400"/>
            </w:tcMar>
          </w:tcPr>
          <w:p>
            <w:pPr>
              <w:spacing w:before="0" w:after="100"/>
              <w:jc w:val="center"/>
            </w:pPr>
            <w:r>
              <w:rPr>
                <w:sz w:val="96"/>
                <w:szCs w:val="96"/>
              </w:rPr>
              <w:t xml:space="preserve">🔒</w:t>
            </w:r>
          </w:p>
          <w:p>
            <w:pPr>
              <w:spacing w:before="0" w:after="80"/>
              <w:jc w:val="center"/>
            </w:pPr>
            <w:r>
              <w:rPr>
                <w:rFonts w:ascii="Arial" w:cs="Arial" w:eastAsia="Arial" w:hAnsi="Arial"/>
                <w:b/>
                <w:bCs/>
                <w:color w:val="FFFFFF"/>
                <w:sz w:val="72"/>
                <w:szCs w:val="72"/>
              </w:rPr>
              <w:t xml:space="preserve">SecureDx AI</w:t>
            </w:r>
          </w:p>
          <w:p>
            <w:pPr>
              <w:spacing w:before="0" w:after="80"/>
              <w:jc w:val="center"/>
            </w:pPr>
            <w:r>
              <w:rPr>
                <w:rFonts w:ascii="Arial" w:cs="Arial" w:eastAsia="Arial" w:hAnsi="Arial"/>
                <w:color w:val="D6E4F0"/>
                <w:sz w:val="32"/>
                <w:szCs w:val="32"/>
              </w:rPr>
              <w:t xml:space="preserve">Privacy-First Diagnostic Assistant</w:t>
            </w:r>
          </w:p>
          <w:p>
            <w:pPr>
              <w:spacing w:before="120" w:after="80"/>
              <w:jc w:val="center"/>
            </w:pPr>
            <w:r>
              <w:rPr>
                <w:rFonts w:ascii="Arial" w:cs="Arial" w:eastAsia="Arial" w:hAnsi="Arial"/>
                <w:b/>
                <w:bCs/>
                <w:color w:val="0E7C86"/>
                <w:sz w:val="26"/>
                <w:szCs w:val="26"/>
              </w:rPr>
              <w:t xml:space="preserve">TECHNICAL ARCHITECTURE BLUEPRINT</w:t>
            </w:r>
          </w:p>
          <w:p>
            <w:pPr>
              <w:spacing w:before="0" w:after="0"/>
              <w:jc w:val="center"/>
            </w:pPr>
            <w:r>
              <w:rPr>
                <w:rFonts w:ascii="Arial" w:cs="Arial" w:eastAsia="Arial" w:hAnsi="Arial"/>
                <w:color w:val="6C6C6C"/>
                <w:sz w:val="20"/>
                <w:szCs w:val="20"/>
              </w:rPr>
              <w:t xml:space="preserve">For Small-to-Medium Healthcare Clinics  |  Version 1.0  |  Confidential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EBF3FA" w:val="clear"/>
            <w:tcMar>
              <w:top w:type="dxa" w:w="120"/>
              <w:left w:type="dxa" w:w="160"/>
              <w:bottom w:type="dxa" w:w="120"/>
              <w:right w:type="dxa" w:w="160"/>
            </w:tcMar>
          </w:tcPr>
          <w:p>
            <w:pPr>
              <w:spacing w:before="0" w:after="40"/>
            </w:pPr>
            <w:r>
              <w:rPr>
                <w:b/>
                <w:bCs/>
                <w:color w:val="1A4E8F"/>
                <w:sz w:val="18"/>
                <w:szCs w:val="18"/>
              </w:rPr>
              <w:t xml:space="preserve">Document Type</w:t>
            </w:r>
          </w:p>
          <w:p>
            <w:r>
              <w:rPr>
                <w:color w:val="3C3C3C"/>
                <w:sz w:val="20"/>
                <w:szCs w:val="20"/>
              </w:rPr>
              <w:t xml:space="preserve">Complete Technical Blueprint + GTM Strategy</w:t>
            </w:r>
          </w:p>
        </w:tc>
        <w:tc>
          <w:tcPr>
            <w:tcW w:type="dxa" w:w="4680"/>
            <w:tcBorders>
              <w:top w:val="single" w:color="2E75B6" w:sz="1"/>
              <w:left w:val="single" w:color="2E75B6" w:sz="1"/>
              <w:bottom w:val="single" w:color="2E75B6" w:sz="1"/>
              <w:right w:val="single" w:color="2E75B6" w:sz="1"/>
            </w:tcBorders>
            <w:shd w:fill="EBF3FA" w:val="clear"/>
            <w:tcMar>
              <w:top w:type="dxa" w:w="120"/>
              <w:left w:type="dxa" w:w="160"/>
              <w:bottom w:type="dxa" w:w="120"/>
              <w:right w:type="dxa" w:w="160"/>
            </w:tcMar>
          </w:tcPr>
          <w:p>
            <w:pPr>
              <w:spacing w:before="0" w:after="40"/>
            </w:pPr>
            <w:r>
              <w:rPr>
                <w:b/>
                <w:bCs/>
                <w:color w:val="1A4E8F"/>
                <w:sz w:val="18"/>
                <w:szCs w:val="18"/>
              </w:rPr>
              <w:t xml:space="preserve">Target Audience</w:t>
            </w:r>
          </w:p>
          <w:p>
            <w:r>
              <w:rPr>
                <w:color w:val="3C3C3C"/>
                <w:sz w:val="20"/>
                <w:szCs w:val="20"/>
              </w:rPr>
              <w:t xml:space="preserve">CTO, Product Lead, Compliance Officer</w:t>
            </w:r>
          </w:p>
        </w:tc>
      </w:tr>
      <w:tr>
        <w:tc>
          <w:tcPr>
            <w:tcW w:type="dxa" w:w="4680"/>
            <w:tcBorders>
              <w:top w:val="single" w:color="2E75B6" w:sz="1"/>
              <w:left w:val="single" w:color="2E75B6" w:sz="1"/>
              <w:bottom w:val="single" w:color="2E75B6" w:sz="1"/>
              <w:right w:val="single" w:color="2E75B6" w:sz="1"/>
            </w:tcBorders>
            <w:shd w:fill="FFFFFF" w:val="clear"/>
            <w:tcMar>
              <w:top w:type="dxa" w:w="120"/>
              <w:left w:type="dxa" w:w="160"/>
              <w:bottom w:type="dxa" w:w="120"/>
              <w:right w:type="dxa" w:w="160"/>
            </w:tcMar>
          </w:tcPr>
          <w:p>
            <w:pPr>
              <w:spacing w:before="0" w:after="40"/>
            </w:pPr>
            <w:r>
              <w:rPr>
                <w:b/>
                <w:bCs/>
                <w:color w:val="1A4E8F"/>
                <w:sz w:val="18"/>
                <w:szCs w:val="18"/>
              </w:rPr>
              <w:t xml:space="preserve">Sections Covered</w:t>
            </w:r>
          </w:p>
          <w:p>
            <w:r>
              <w:rPr>
                <w:color w:val="3C3C3C"/>
                <w:sz w:val="20"/>
                <w:szCs w:val="20"/>
              </w:rPr>
              <w:t xml:space="preserve">8 Sections + 5 Enhancement Modules</w:t>
            </w:r>
          </w:p>
        </w:tc>
        <w:tc>
          <w:tcPr>
            <w:tcW w:type="dxa" w:w="4680"/>
            <w:tcBorders>
              <w:top w:val="single" w:color="2E75B6" w:sz="1"/>
              <w:left w:val="single" w:color="2E75B6" w:sz="1"/>
              <w:bottom w:val="single" w:color="2E75B6" w:sz="1"/>
              <w:right w:val="single" w:color="2E75B6" w:sz="1"/>
            </w:tcBorders>
            <w:shd w:fill="FFFFFF" w:val="clear"/>
            <w:tcMar>
              <w:top w:type="dxa" w:w="120"/>
              <w:left w:type="dxa" w:w="160"/>
              <w:bottom w:type="dxa" w:w="120"/>
              <w:right w:type="dxa" w:w="160"/>
            </w:tcMar>
          </w:tcPr>
          <w:p>
            <w:pPr>
              <w:spacing w:before="0" w:after="40"/>
            </w:pPr>
            <w:r>
              <w:rPr>
                <w:b/>
                <w:bCs/>
                <w:color w:val="1A4E8F"/>
                <w:sz w:val="18"/>
                <w:szCs w:val="18"/>
              </w:rPr>
              <w:t xml:space="preserve">Compliance Scope</w:t>
            </w:r>
          </w:p>
          <w:p>
            <w:r>
              <w:rPr>
                <w:color w:val="3C3C3C"/>
                <w:sz w:val="20"/>
                <w:szCs w:val="20"/>
              </w:rPr>
              <w:t xml:space="preserve">HIPAA, GDPR, FDA SaMD Guidelines</w:t>
            </w:r>
          </w:p>
        </w:tc>
      </w:tr>
    </w:tbl>
    <w:p>
      <w:r>
        <w:br w:type="page"/>
      </w:r>
    </w:p>
    <w:p>
      <w:pPr>
        <w:pStyle w:val="Heading2"/>
        <w:spacing w:before="300" w:after="120"/>
      </w:pPr>
      <w:r>
        <w:rPr>
          <w:rFonts w:ascii="Arial" w:cs="Arial" w:eastAsia="Arial" w:hAnsi="Arial"/>
          <w:b/>
          <w:bCs/>
          <w:color w:val="0D2B55"/>
          <w:sz w:val="28"/>
          <w:szCs w:val="28"/>
        </w:rPr>
        <w:t xml:space="preserve">Executive Summary</w:t>
      </w:r>
    </w:p>
    <w:p>
      <w:pPr>
        <w:spacing w:before="80" w:after="100" w:line="280"/>
      </w:pPr>
      <w:r>
        <w:rPr>
          <w:color w:val="3C3C3C"/>
          <w:sz w:val="22"/>
          <w:szCs w:val="22"/>
        </w:rPr>
        <w:t xml:space="preserve">SecureDx AI is a privacy-first clinical decision support platform engineered to deliver enterprise-grade AI diagnostics to small-and-medium healthcare clinics without ever exposing raw Protected Health Information (PHI) outside the clinic's local environment. This blueprint presents a complete technical, regulatory, and commercial architecture that a lean engineering team can execute within a 90-day MVP sprint.</w:t>
      </w:r>
    </w:p>
    <w:p>
      <w:pPr>
        <w:spacing w:before="60" w:after="60"/>
      </w:pPr>
      <w:r>
        <w:t xml:space="preserve"/>
      </w:r>
    </w:p>
    <w:p>
      <w:pPr>
        <w:spacing w:before="80" w:after="100" w:line="280"/>
      </w:pPr>
      <w:r>
        <w:rPr>
          <w:color w:val="3C3C3C"/>
          <w:sz w:val="22"/>
          <w:szCs w:val="22"/>
        </w:rPr>
        <w:t xml:space="preserve">The core innovation is a federated learning architecture in which AI model improvements accumulate across clinic nodes by sharing only encrypted, differential-privacy-protected gradient updates — never patient records. On-premise inference means a physician's diagnostic query never touches an external server. Explainability-by-design (XAI) ensures every AI suggestion is backed by a human-readable rationale, which is non-negotiable for physician trust and medical liability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EBF3FA" w:val="clear"/>
            <w:tcMar>
              <w:top w:type="dxa" w:w="120"/>
              <w:left w:type="dxa" w:w="160"/>
              <w:bottom w:type="dxa" w:w="120"/>
              <w:right w:type="dxa" w:w="160"/>
            </w:tcMar>
          </w:tcPr>
          <w:p>
            <w:pPr>
              <w:spacing w:before="0" w:after="60"/>
            </w:pPr>
            <w:r>
              <w:rPr>
                <w:rFonts w:ascii="Arial" w:cs="Arial" w:eastAsia="Arial" w:hAnsi="Arial"/>
                <w:b/>
                <w:bCs/>
                <w:color w:val="1A4E8F"/>
                <w:sz w:val="20"/>
                <w:szCs w:val="20"/>
              </w:rPr>
              <w:t xml:space="preserve">Why this matters</w:t>
            </w:r>
          </w:p>
          <w:p>
            <w:pPr>
              <w:spacing w:before="0" w:after="0" w:line="260"/>
            </w:pPr>
            <w:r>
              <w:rPr>
                <w:color w:val="3C3C3C"/>
                <w:sz w:val="21"/>
                <w:szCs w:val="21"/>
              </w:rPr>
              <w:t xml:space="preserve">Approximately 85% of US healthcare facilities employ fewer than 50 staff. These clinics face identical HIPAA/GDPR liability as large hospitals yet cannot afford enterprise AI infrastructure. SecureDx AI targets this underserved market with a $299–$799/month per-clinic SaaS model that runs on commodity hardware under $3,000 per node.</w:t>
            </w:r>
          </w:p>
        </w:tc>
      </w:tr>
    </w:tbl>
    <w:p>
      <w:pPr>
        <w:spacing w:before="60" w:after="60"/>
      </w:pPr>
      <w:r>
        <w:t xml:space="preserve"/>
      </w:r>
    </w:p>
    <w:p>
      <w:pPr>
        <w:pStyle w:val="Heading3"/>
        <w:spacing w:before="200" w:after="80"/>
      </w:pPr>
      <w:r>
        <w:rPr>
          <w:rFonts w:ascii="Arial" w:cs="Arial" w:eastAsia="Arial" w:hAnsi="Arial"/>
          <w:b/>
          <w:bCs/>
          <w:color w:val="1A4E8F"/>
          <w:sz w:val="24"/>
          <w:szCs w:val="24"/>
        </w:rPr>
        <w:t xml:space="preserve">Five Architectural Enhancements Incorporated in This Blueprint</w:t>
      </w:r>
    </w:p>
    <w:p>
      <w:pPr>
        <w:pStyle w:val="ListParagraph"/>
        <w:numPr>
          <w:ilvl w:val="0"/>
          <w:numId w:val="2"/>
        </w:numPr>
        <w:spacing w:before="60" w:after="60" w:line="260"/>
      </w:pPr>
      <w:r>
        <w:rPr>
          <w:color w:val="3C3C3C"/>
          <w:sz w:val="22"/>
          <w:szCs w:val="22"/>
        </w:rPr>
        <w:t xml:space="preserve">Byzantine-Fault-Tolerant Aggregation (Data Poisoning Defense) — Krum/Trimmed Mean to neutralize malicious gradient uploads from compromised nodes</w:t>
      </w:r>
    </w:p>
    <w:p>
      <w:pPr>
        <w:pStyle w:val="ListParagraph"/>
        <w:numPr>
          <w:ilvl w:val="0"/>
          <w:numId w:val="2"/>
        </w:numPr>
        <w:spacing w:before="60" w:after="60" w:line="260"/>
      </w:pPr>
      <w:r>
        <w:rPr>
          <w:color w:val="3C3C3C"/>
          <w:sz w:val="22"/>
          <w:szCs w:val="22"/>
        </w:rPr>
        <w:t xml:space="preserve">Clinician Feedback Loop UI — One-click physician disagreement capture as local training signal for the model improvement flywheel</w:t>
      </w:r>
    </w:p>
    <w:p>
      <w:pPr>
        <w:pStyle w:val="ListParagraph"/>
        <w:numPr>
          <w:ilvl w:val="0"/>
          <w:numId w:val="2"/>
        </w:numPr>
        <w:spacing w:before="60" w:after="60" w:line="260"/>
      </w:pPr>
      <w:r>
        <w:rPr>
          <w:color w:val="3C3C3C"/>
          <w:sz w:val="22"/>
          <w:szCs w:val="22"/>
        </w:rPr>
        <w:t xml:space="preserve">FHIR AuditEvent Export — Tamper-evident, legally discoverable audit logs in HL7 FHIR R4 format for compliance officers</w:t>
      </w:r>
    </w:p>
    <w:p>
      <w:pPr>
        <w:pStyle w:val="ListParagraph"/>
        <w:numPr>
          <w:ilvl w:val="0"/>
          <w:numId w:val="2"/>
        </w:numPr>
        <w:spacing w:before="60" w:after="60" w:line="260"/>
      </w:pPr>
      <w:r>
        <w:rPr>
          <w:color w:val="3C3C3C"/>
          <w:sz w:val="22"/>
          <w:szCs w:val="22"/>
        </w:rPr>
        <w:t xml:space="preserve">Offline-First Resilience Architecture — Full inference + logging during internet outages; gradient sync resumes on reconnection</w:t>
      </w:r>
    </w:p>
    <w:p>
      <w:pPr>
        <w:pStyle w:val="ListParagraph"/>
        <w:numPr>
          <w:ilvl w:val="0"/>
          <w:numId w:val="2"/>
        </w:numPr>
        <w:spacing w:before="60" w:after="60" w:line="260"/>
      </w:pPr>
      <w:r>
        <w:rPr>
          <w:color w:val="3C3C3C"/>
          <w:sz w:val="22"/>
          <w:szCs w:val="22"/>
        </w:rPr>
        <w:t xml:space="preserve">RBAC + Break-Glass Protocol — Role-based access with documented, auditable emergency override paths meeting HIPAA minimum-necessary standards</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01</w:t>
            </w:r>
          </w:p>
          <w:p>
            <w:pPr>
              <w:spacing w:before="0" w:after="60"/>
            </w:pPr>
            <w:r>
              <w:rPr>
                <w:rFonts w:ascii="Arial" w:cs="Arial" w:eastAsia="Arial" w:hAnsi="Arial"/>
                <w:b/>
                <w:bCs/>
                <w:color w:val="FFFFFF"/>
                <w:sz w:val="36"/>
                <w:szCs w:val="36"/>
              </w:rPr>
              <w:t xml:space="preserve">Technical Architecture Blueprint</w:t>
            </w:r>
          </w:p>
          <w:p>
            <w:pPr>
              <w:spacing w:before="0" w:after="0"/>
            </w:pPr>
            <w:r>
              <w:rPr>
                <w:rFonts w:ascii="Arial" w:cs="Arial" w:eastAsia="Arial" w:hAnsi="Arial"/>
                <w:color w:val="D6E4F0"/>
                <w:sz w:val="22"/>
                <w:szCs w:val="22"/>
              </w:rPr>
              <w:t xml:space="preserve">Full system stack: inference, data pipeline, federated learning, encryption, and audit logging</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1.1 System Overview</w:t>
      </w:r>
    </w:p>
    <w:p>
      <w:pPr>
        <w:spacing w:before="80" w:after="100" w:line="280"/>
      </w:pPr>
      <w:r>
        <w:rPr>
          <w:color w:val="3C3C3C"/>
          <w:sz w:val="22"/>
          <w:szCs w:val="22"/>
        </w:rPr>
        <w:t xml:space="preserve">The SecureDx AI stack is composed of four logical tiers that operate in a strict trust hierarchy. Data flows inward toward computation and only anonymized cryptographic artifacts flow outward.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Tier</w:t>
            </w:r>
          </w:p>
        </w:tc>
        <w:tc>
          <w:tcPr>
            <w:tcW w:type="dxa" w:w="67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Tier 1 — Data Capture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Clinical inputs (EHR, labs, vitals, imaging metadata) enter via a HL7 FHIR R4-compliant local API. Raw PHI never leaves this tier.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Tier 2 — Local Inference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ONNX Runtime executes model inference entirely on-premise. The inference engine, model weights, and patient context all reside on the clinic node.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Tier 3 — Federated Coordination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Only gradient updates (ε-differentially private) leave the clinic. A lightweight FL coordinator (Flower server) aggregates updates from ≥5 clinic nodes.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Tier 4 — Audit &amp; Compliance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All queries, responses, physician overrides, and access events are logged to a tamper-evident local store and optionally exported as FHIR AuditEvent bundles.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1.2 On-Premise Components</w:t>
      </w:r>
    </w:p>
    <w:p>
      <w:pPr>
        <w:pStyle w:val="Heading3"/>
        <w:spacing w:before="200" w:after="80"/>
      </w:pPr>
      <w:r>
        <w:rPr>
          <w:rFonts w:ascii="Arial" w:cs="Arial" w:eastAsia="Arial" w:hAnsi="Arial"/>
          <w:b/>
          <w:bCs/>
          <w:color w:val="1A4E8F"/>
          <w:sz w:val="24"/>
          <w:szCs w:val="24"/>
        </w:rPr>
        <w:t xml:space="preserve">Inference Engine</w:t>
      </w:r>
    </w:p>
    <w:p>
      <w:pPr>
        <w:spacing w:before="80" w:after="100" w:line="280"/>
      </w:pPr>
      <w:r>
        <w:rPr>
          <w:color w:val="3C3C3C"/>
          <w:sz w:val="22"/>
          <w:szCs w:val="22"/>
        </w:rPr>
        <w:t xml:space="preserve">The core diagnostic model runs as an ONNX Runtime process on the clinic node. ONNX was selected over TensorFlow Lite because it supports a broader range of model architectures (transformer-based clinical NLP, gradient boosted trees for structured data), provides GPU acceleration on NVIDIA Jetson AGX Orin hardware, and its runtime is a single 40MB binary with no Python dependency in production.</w:t>
      </w:r>
    </w:p>
    <w:p>
      <w:pPr>
        <w:spacing w:before="60" w:after="60"/>
      </w:pPr>
      <w:r>
        <w:t xml:space="preserve"/>
      </w:r>
    </w:p>
    <w:p>
      <w:pPr>
        <w:pStyle w:val="ListParagraph"/>
        <w:numPr>
          <w:ilvl w:val="0"/>
          <w:numId w:val="2"/>
        </w:numPr>
        <w:spacing w:before="60" w:after="60" w:line="260"/>
      </w:pPr>
      <w:r>
        <w:rPr>
          <w:color w:val="3C3C3C"/>
          <w:sz w:val="22"/>
          <w:szCs w:val="22"/>
        </w:rPr>
        <w:t xml:space="preserve">Runtime: ONNX Runtime 1.17+ (C++ shared library, Python bindings for local tooling)</w:t>
      </w:r>
    </w:p>
    <w:p>
      <w:pPr>
        <w:pStyle w:val="ListParagraph"/>
        <w:numPr>
          <w:ilvl w:val="0"/>
          <w:numId w:val="2"/>
        </w:numPr>
        <w:spacing w:before="60" w:after="60" w:line="260"/>
      </w:pPr>
      <w:r>
        <w:rPr>
          <w:color w:val="3C3C3C"/>
          <w:sz w:val="22"/>
          <w:szCs w:val="22"/>
        </w:rPr>
        <w:t xml:space="preserve">Model format: .onnx with INT8 quantization (reduces memory footprint by ~4x vs FP32 baseline)</w:t>
      </w:r>
    </w:p>
    <w:p>
      <w:pPr>
        <w:pStyle w:val="ListParagraph"/>
        <w:numPr>
          <w:ilvl w:val="0"/>
          <w:numId w:val="2"/>
        </w:numPr>
        <w:spacing w:before="60" w:after="60" w:line="260"/>
      </w:pPr>
      <w:r>
        <w:rPr>
          <w:color w:val="3C3C3C"/>
          <w:sz w:val="22"/>
          <w:szCs w:val="22"/>
        </w:rPr>
        <w:t xml:space="preserve">Target hardware: NVIDIA Jetson AGX Orin 32GB (≈$1,999 list) or equivalent x86 mini-PC with discrete GPU</w:t>
      </w:r>
    </w:p>
    <w:p>
      <w:pPr>
        <w:pStyle w:val="ListParagraph"/>
        <w:numPr>
          <w:ilvl w:val="0"/>
          <w:numId w:val="2"/>
        </w:numPr>
        <w:spacing w:before="60" w:after="60" w:line="260"/>
      </w:pPr>
      <w:r>
        <w:rPr>
          <w:color w:val="3C3C3C"/>
          <w:sz w:val="22"/>
          <w:szCs w:val="22"/>
        </w:rPr>
        <w:t xml:space="preserve">Fallback: CPU-only inference on any x86-64 Linux system — latency increases from ~200ms to ~800ms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2E" w:sz="2"/>
              <w:left w:val="single" w:color="1E6B2E" w:sz="2"/>
              <w:bottom w:val="single" w:color="1E6B2E" w:sz="2"/>
              <w:right w:val="single" w:color="1E6B2E" w:sz="2"/>
            </w:tcBorders>
            <w:shd w:fill="D4EDDA" w:val="clear"/>
            <w:tcMar>
              <w:top w:type="dxa" w:w="120"/>
              <w:left w:type="dxa" w:w="160"/>
              <w:bottom w:type="dxa" w:w="120"/>
              <w:right w:type="dxa" w:w="160"/>
            </w:tcMar>
          </w:tcPr>
          <w:p>
            <w:pPr>
              <w:spacing w:before="0" w:after="60"/>
            </w:pPr>
            <w:r>
              <w:rPr>
                <w:rFonts w:ascii="Arial" w:cs="Arial" w:eastAsia="Arial" w:hAnsi="Arial"/>
                <w:b/>
                <w:bCs/>
                <w:color w:val="1E6B2E"/>
                <w:sz w:val="20"/>
                <w:szCs w:val="20"/>
              </w:rPr>
              <w:t xml:space="preserve">REGULATION REQUIRED</w:t>
            </w:r>
          </w:p>
          <w:p>
            <w:pPr>
              <w:spacing w:before="0" w:after="0" w:line="260"/>
            </w:pPr>
            <w:r>
              <w:rPr>
                <w:color w:val="3C3C3C"/>
                <w:sz w:val="21"/>
                <w:szCs w:val="21"/>
              </w:rPr>
              <w:t xml:space="preserve">Under HIPAA §164.312(a)(2)(iv), encryption of PHI at rest is an addressable specification — meaning it must be implemented or a documented equivalent must exist. We treat it as required. All model inputs, cached inference context, and logs must be AES-256 encrypted on disk.</w:t>
            </w:r>
          </w:p>
        </w:tc>
      </w:tr>
    </w:tbl>
    <w:p>
      <w:pPr>
        <w:spacing w:before="60" w:after="60"/>
      </w:pPr>
      <w:r>
        <w:t xml:space="preserve"/>
      </w:r>
    </w:p>
    <w:p>
      <w:pPr>
        <w:pStyle w:val="Heading3"/>
        <w:spacing w:before="200" w:after="80"/>
      </w:pPr>
      <w:r>
        <w:rPr>
          <w:rFonts w:ascii="Arial" w:cs="Arial" w:eastAsia="Arial" w:hAnsi="Arial"/>
          <w:b/>
          <w:bCs/>
          <w:color w:val="1A4E8F"/>
          <w:sz w:val="24"/>
          <w:szCs w:val="24"/>
        </w:rPr>
        <w:t xml:space="preserve">Local Data Pipeline</w:t>
      </w:r>
    </w:p>
    <w:p>
      <w:pPr>
        <w:spacing w:before="80" w:after="100" w:line="280"/>
      </w:pPr>
      <w:r>
        <w:rPr>
          <w:color w:val="3C3C3C"/>
          <w:sz w:val="22"/>
          <w:szCs w:val="22"/>
        </w:rPr>
        <w:t xml:space="preserve">Clinical data enters the system through a FHIR R4-compliant ingestion API that performs three operations before any data touches the inference engine: de-identification, validation, and feature extraction.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Implementation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Ingestion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FastAPI (Python) service on localhost:8443 accepting FHIR R4 JSON bundles. TLS 1.3 mandatory. Listens only on loopback — never on a public interface.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De-identification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MIST (Medical Information Scrubbing Tool) removes 18 HIPAA Safe Harbor identifiers before feature extraction. Patient context retained as pseudonymous UUID.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Feature Extraction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Structured features extracted: lab values → normalized floats, vitals → z-score normalized, ICD-10 codes → embedding lookup, imaging metadata → structured JSON.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Local Cache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PostgreSQL 16 with pgcrypto (AES-256 column encryption). SQLite for edge deployments with ≤3 concurrent users. WAL mode enabled for offline resilience.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Data Retention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Inference context purged after 30 days by default (configurable). Raw clinical data never persisted — only extracted features and pseudonymous identifiers.</w:t>
            </w:r>
          </w:p>
        </w:tc>
      </w:tr>
    </w:tbl>
    <w:p>
      <w:pPr>
        <w:spacing w:before="60" w:after="60"/>
      </w:pPr>
      <w:r>
        <w:t xml:space="preserve"/>
      </w:r>
    </w:p>
    <w:p>
      <w:pPr>
        <w:pStyle w:val="Heading3"/>
        <w:spacing w:before="200" w:after="80"/>
      </w:pPr>
      <w:r>
        <w:rPr>
          <w:rFonts w:ascii="Arial" w:cs="Arial" w:eastAsia="Arial" w:hAnsi="Arial"/>
          <w:b/>
          <w:bCs/>
          <w:color w:val="1A4E8F"/>
          <w:sz w:val="24"/>
          <w:szCs w:val="24"/>
        </w:rPr>
        <w:t xml:space="preserve">1.3 Encryption Architecture</w:t>
      </w:r>
    </w:p>
    <w:p>
      <w:pPr>
        <w:spacing w:before="80" w:after="100" w:line="280"/>
      </w:pPr>
      <w:r>
        <w:rPr>
          <w:color w:val="3C3C3C"/>
          <w:sz w:val="22"/>
          <w:szCs w:val="22"/>
        </w:rPr>
        <w:t xml:space="preserve">Three layers of encryption protect all sensitive data. Each layer serves a distinct threat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Encryption Layer</w:t>
            </w:r>
          </w:p>
        </w:tc>
        <w:tc>
          <w:tcPr>
            <w:tcW w:type="dxa" w:w="348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Mechanism</w:t>
            </w:r>
          </w:p>
        </w:tc>
        <w:tc>
          <w:tcPr>
            <w:tcW w:type="dxa" w:w="348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Threat Mitigated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Layer 1 — At Rest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AES-256-GCM via pgcrypto or SQLCipher (SQLite)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Protects against physical device theft or unauthorized disk access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b/>
                <w:bCs/>
                <w:color w:val="0D2B55"/>
                <w:sz w:val="20"/>
                <w:szCs w:val="20"/>
              </w:rPr>
              <w:t xml:space="preserve">Layer 2 — In Transit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TLS 1.3 with certificate pinning for all API calls, including FL gradient uploads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Prevents MITM attacks on the local network or internet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Layer 3 — Gradient Privacy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Differential Privacy (ε=1.0, δ=1e-5) applied via OpenDP before gradient serialization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Ensures gradient updates cannot be reverse-engineered to reconstruct individual patient records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7000" w:sz="2"/>
              <w:left w:val="single" w:color="C07000" w:sz="2"/>
              <w:bottom w:val="single" w:color="C07000" w:sz="2"/>
              <w:right w:val="single" w:color="C07000" w:sz="2"/>
            </w:tcBorders>
            <w:shd w:fill="FFF3CD" w:val="clear"/>
            <w:tcMar>
              <w:top w:type="dxa" w:w="120"/>
              <w:left w:type="dxa" w:w="160"/>
              <w:bottom w:type="dxa" w:w="120"/>
              <w:right w:type="dxa" w:w="160"/>
            </w:tcMar>
          </w:tcPr>
          <w:p>
            <w:pPr>
              <w:spacing w:before="0" w:after="60"/>
            </w:pPr>
            <w:r>
              <w:rPr>
                <w:rFonts w:ascii="Arial" w:cs="Arial" w:eastAsia="Arial" w:hAnsi="Arial"/>
                <w:b/>
                <w:bCs/>
                <w:color w:val="C07000"/>
                <w:sz w:val="20"/>
                <w:szCs w:val="20"/>
              </w:rPr>
              <w:t xml:space="preserve">BEST PRACTICE (NOT REQUIRED)</w:t>
            </w:r>
          </w:p>
          <w:p>
            <w:pPr>
              <w:spacing w:before="0" w:after="0" w:line="260"/>
            </w:pPr>
            <w:r>
              <w:rPr>
                <w:color w:val="3C3C3C"/>
                <w:sz w:val="21"/>
                <w:szCs w:val="21"/>
              </w:rPr>
              <w:t xml:space="preserve">Homomorphic encryption (Microsoft SEAL or CKKS scheme) would allow the FL coordinator to aggregate gradients without ever decrypting them. This provides a mathematically stronger privacy guarantee but adds 10–100x computational overhead. Recommended for Phase 2 after MVP validation.</w:t>
            </w:r>
          </w:p>
        </w:tc>
      </w:tr>
    </w:tbl>
    <w:p>
      <w:pPr>
        <w:spacing w:before="60" w:after="60"/>
      </w:pPr>
      <w:r>
        <w:t xml:space="preserve"/>
      </w:r>
    </w:p>
    <w:p>
      <w:pPr>
        <w:pStyle w:val="Heading3"/>
        <w:spacing w:before="200" w:after="80"/>
      </w:pPr>
      <w:r>
        <w:rPr>
          <w:rFonts w:ascii="Arial" w:cs="Arial" w:eastAsia="Arial" w:hAnsi="Arial"/>
          <w:b/>
          <w:bCs/>
          <w:color w:val="1A4E8F"/>
          <w:sz w:val="24"/>
          <w:szCs w:val="24"/>
        </w:rPr>
        <w:t xml:space="preserve">1.4 Audit Logging System</w:t>
      </w:r>
    </w:p>
    <w:p>
      <w:pPr>
        <w:spacing w:before="80" w:after="100" w:line="280"/>
      </w:pPr>
      <w:r>
        <w:rPr>
          <w:color w:val="3C3C3C"/>
          <w:sz w:val="22"/>
          <w:szCs w:val="22"/>
        </w:rPr>
        <w:t xml:space="preserve">Every system event is written to an append-only audit log using a Merkle-tree hash chain. Each log entry includes a cryptographic hash of the previous entry, making retroactive tampering detectable. This is a REGULATION REQUIRED implementation for HIPAA audit controls (§164.312(b)).</w:t>
      </w:r>
    </w:p>
    <w:p>
      <w:pPr>
        <w:spacing w:before="60" w:after="60"/>
      </w:pPr>
      <w:r>
        <w:t xml:space="preserve"/>
      </w:r>
    </w:p>
    <w:p>
      <w:pPr>
        <w:pStyle w:val="ListParagraph"/>
        <w:numPr>
          <w:ilvl w:val="0"/>
          <w:numId w:val="2"/>
        </w:numPr>
        <w:spacing w:before="60" w:after="60" w:line="260"/>
      </w:pPr>
      <w:r>
        <w:rPr>
          <w:color w:val="3C3C3C"/>
          <w:sz w:val="22"/>
          <w:szCs w:val="22"/>
        </w:rPr>
        <w:t xml:space="preserve">Log format: NDJSON (Newline-Delimited JSON), one event per line</w:t>
      </w:r>
    </w:p>
    <w:p>
      <w:pPr>
        <w:pStyle w:val="ListParagraph"/>
        <w:numPr>
          <w:ilvl w:val="0"/>
          <w:numId w:val="2"/>
        </w:numPr>
        <w:spacing w:before="60" w:after="60" w:line="260"/>
      </w:pPr>
      <w:r>
        <w:rPr>
          <w:color w:val="3C3C3C"/>
          <w:sz w:val="22"/>
          <w:szCs w:val="22"/>
        </w:rPr>
        <w:t xml:space="preserve">Hash chain: SHA-256 over (previous_hash + event_payload + timestamp)</w:t>
      </w:r>
    </w:p>
    <w:p>
      <w:pPr>
        <w:pStyle w:val="ListParagraph"/>
        <w:numPr>
          <w:ilvl w:val="0"/>
          <w:numId w:val="2"/>
        </w:numPr>
        <w:spacing w:before="60" w:after="60" w:line="260"/>
      </w:pPr>
      <w:r>
        <w:rPr>
          <w:color w:val="3C3C3C"/>
          <w:sz w:val="22"/>
          <w:szCs w:val="22"/>
        </w:rPr>
        <w:t xml:space="preserve">Export format: FHIR R4 AuditEvent resources bundled as a Transaction Bundle (for legal discovery)</w:t>
      </w:r>
    </w:p>
    <w:p>
      <w:pPr>
        <w:pStyle w:val="ListParagraph"/>
        <w:numPr>
          <w:ilvl w:val="0"/>
          <w:numId w:val="2"/>
        </w:numPr>
        <w:spacing w:before="60" w:after="60" w:line="260"/>
      </w:pPr>
      <w:r>
        <w:rPr>
          <w:color w:val="3C3C3C"/>
          <w:sz w:val="22"/>
          <w:szCs w:val="22"/>
        </w:rPr>
        <w:t xml:space="preserve">Events logged: authentication, inference requests, PHI access, model updates, override actions, break-glass activations, export operations</w:t>
      </w:r>
    </w:p>
    <w:p>
      <w:pPr>
        <w:pStyle w:val="ListParagraph"/>
        <w:numPr>
          <w:ilvl w:val="0"/>
          <w:numId w:val="2"/>
        </w:numPr>
        <w:spacing w:before="60" w:after="60" w:line="260"/>
      </w:pPr>
      <w:r>
        <w:rPr>
          <w:color w:val="3C3C3C"/>
          <w:sz w:val="22"/>
          <w:szCs w:val="22"/>
        </w:rPr>
        <w:t xml:space="preserve">Retention: 6 years minimum (HIPAA §164.530(j)) — stored locally with optional encrypted off-site backup</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1.5 On-Premise vs. Private Cloud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Components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On-Premise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FHIR ingestion API, inference engine, patient feature store, local audit log, RBAC service, break-glass controller, local model weights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Optional Private Cloud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FL gradient aggregation server (Flower), model update distribution, aggregate audit log backup (encrypted), central dashboard for compliance officers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NEVER in Cloud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Raw PHI, patient identifiers, de-identified feature vectors, individual clinic audit logs before anonymization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02</w:t>
            </w:r>
          </w:p>
          <w:p>
            <w:pPr>
              <w:spacing w:before="0" w:after="60"/>
            </w:pPr>
            <w:r>
              <w:rPr>
                <w:rFonts w:ascii="Arial" w:cs="Arial" w:eastAsia="Arial" w:hAnsi="Arial"/>
                <w:b/>
                <w:bCs/>
                <w:color w:val="FFFFFF"/>
                <w:sz w:val="36"/>
                <w:szCs w:val="36"/>
              </w:rPr>
              <w:t xml:space="preserve">HIPAA/GDPR Compliance Framework</w:t>
            </w:r>
          </w:p>
          <w:p>
            <w:pPr>
              <w:spacing w:before="0" w:after="0"/>
            </w:pPr>
            <w:r>
              <w:rPr>
                <w:rFonts w:ascii="Arial" w:cs="Arial" w:eastAsia="Arial" w:hAnsi="Arial"/>
                <w:color w:val="D6E4F0"/>
                <w:sz w:val="22"/>
                <w:szCs w:val="22"/>
              </w:rPr>
              <w:t xml:space="preserve">Data touchpoint mapping, legal risk analysis, BAA considerations, and patient consent flow</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2.1 Data Touchpoint Compliance Map</w:t>
      </w:r>
    </w:p>
    <w:p>
      <w:pPr>
        <w:spacing w:before="80" w:after="100" w:line="280"/>
      </w:pPr>
      <w:r>
        <w:rPr>
          <w:color w:val="3C3C3C"/>
          <w:sz w:val="22"/>
          <w:szCs w:val="22"/>
        </w:rPr>
        <w:t xml:space="preserve">Every point at which patient data is accessed, transformed, or referenced is mapped below to its governing regulation and required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700"/>
        <w:gridCol w:w="2360"/>
      </w:tblGrid>
      <w:tr>
        <w:tc>
          <w:tcPr>
            <w:tcW w:type="dxa" w:w="2200"/>
            <w:tcBorders>
              <w:top w:val="single" w:color="AAAAAA" w:sz="1"/>
              <w:left w:val="single" w:color="AAAAAA" w:sz="1"/>
              <w:bottom w:val="single" w:color="AAAAAA" w:sz="1"/>
              <w:right w:val="single" w:color="AAAAAA" w:sz="1"/>
            </w:tcBorders>
            <w:shd w:fill="0D2B55" w:val="clear"/>
            <w:tcMar>
              <w:top w:type="dxa" w:w="80"/>
              <w:left w:type="dxa" w:w="100"/>
              <w:bottom w:type="dxa" w:w="80"/>
              <w:right w:type="dxa" w:w="100"/>
            </w:tcMar>
          </w:tcPr>
          <w:p>
            <w:r>
              <w:rPr>
                <w:b/>
                <w:bCs/>
                <w:color w:val="FFFFFF"/>
                <w:sz w:val="19"/>
                <w:szCs w:val="19"/>
              </w:rPr>
              <w:t xml:space="preserve">Touchpoint</w:t>
            </w:r>
          </w:p>
        </w:tc>
        <w:tc>
          <w:tcPr>
            <w:tcW w:type="dxa" w:w="2100"/>
            <w:tcBorders>
              <w:top w:val="single" w:color="AAAAAA" w:sz="1"/>
              <w:left w:val="single" w:color="AAAAAA" w:sz="1"/>
              <w:bottom w:val="single" w:color="AAAAAA" w:sz="1"/>
              <w:right w:val="single" w:color="AAAAAA" w:sz="1"/>
            </w:tcBorders>
            <w:shd w:fill="0D2B55" w:val="clear"/>
            <w:tcMar>
              <w:top w:type="dxa" w:w="80"/>
              <w:left w:type="dxa" w:w="100"/>
              <w:bottom w:type="dxa" w:w="80"/>
              <w:right w:type="dxa" w:w="100"/>
            </w:tcMar>
          </w:tcPr>
          <w:p>
            <w:r>
              <w:rPr>
                <w:b/>
                <w:bCs/>
                <w:color w:val="FFFFFF"/>
                <w:sz w:val="19"/>
                <w:szCs w:val="19"/>
              </w:rPr>
              <w:t xml:space="preserve">Regulation</w:t>
            </w:r>
          </w:p>
        </w:tc>
        <w:tc>
          <w:tcPr>
            <w:tcW w:type="dxa" w:w="2700"/>
            <w:tcBorders>
              <w:top w:val="single" w:color="AAAAAA" w:sz="1"/>
              <w:left w:val="single" w:color="AAAAAA" w:sz="1"/>
              <w:bottom w:val="single" w:color="AAAAAA" w:sz="1"/>
              <w:right w:val="single" w:color="AAAAAA" w:sz="1"/>
            </w:tcBorders>
            <w:shd w:fill="0D2B55" w:val="clear"/>
            <w:tcMar>
              <w:top w:type="dxa" w:w="80"/>
              <w:left w:type="dxa" w:w="100"/>
              <w:bottom w:type="dxa" w:w="80"/>
              <w:right w:type="dxa" w:w="100"/>
            </w:tcMar>
          </w:tcPr>
          <w:p>
            <w:r>
              <w:rPr>
                <w:b/>
                <w:bCs/>
                <w:color w:val="FFFFFF"/>
                <w:sz w:val="19"/>
                <w:szCs w:val="19"/>
              </w:rPr>
              <w:t xml:space="preserve">Required Control</w:t>
            </w:r>
          </w:p>
        </w:tc>
        <w:tc>
          <w:tcPr>
            <w:tcW w:type="dxa" w:w="2360"/>
            <w:tcBorders>
              <w:top w:val="single" w:color="AAAAAA" w:sz="1"/>
              <w:left w:val="single" w:color="AAAAAA" w:sz="1"/>
              <w:bottom w:val="single" w:color="AAAAAA" w:sz="1"/>
              <w:right w:val="single" w:color="AAAAAA" w:sz="1"/>
            </w:tcBorders>
            <w:shd w:fill="0D2B55" w:val="clear"/>
            <w:tcMar>
              <w:top w:type="dxa" w:w="80"/>
              <w:left w:type="dxa" w:w="100"/>
              <w:bottom w:type="dxa" w:w="80"/>
              <w:right w:type="dxa" w:w="100"/>
            </w:tcMar>
          </w:tcPr>
          <w:p>
            <w:r>
              <w:rPr>
                <w:b/>
                <w:bCs/>
                <w:color w:val="FFFFFF"/>
                <w:sz w:val="19"/>
                <w:szCs w:val="19"/>
              </w:rPr>
              <w:t xml:space="preserve">Status Tag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EHR Data Ingest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HIPAA §164.312(e)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TLS 1.3 + local network only, no external routing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PHI De-identification</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HIPAA §164.514(b)</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Safe Harbor: remove all 18 identifiers before ML processing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Feature Extraction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HIPAA §164.312(a)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Access logging, role-based access, encryption at rest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Inference Query</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HIPAA §164.312(c)</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Integrity controls — inputs and outputs hash-verified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Gradient Serialization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GDPR Art. 25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Differential privacy applied before serialization (ε=1.0)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Gradient Upload</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GDPR Art. 32</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TLS 1.3 + cert pinning, upload only to authenticated FL server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Audit Log Write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HIPAA §164.312(b)</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Append-only, hash-chained, tamper-evident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Clinician Feedback</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GDPR Art. 22</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No automated decision — physician remains decision-maker of record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Audit Log Export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HIPAA §164.528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FHIR AuditEvent format, encrypted export, access logged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Break-Glass Access</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HIPAA §164.312(a)(2)(ii)</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Immediate alert, full audit trail, mandatory post-event review</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A02020"/>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FL Model Download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HIPAA §164.308(a)(5)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Model integrity verified by SHA-256 hash before deployment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C07000"/>
                <w:sz w:val="19"/>
                <w:szCs w:val="19"/>
              </w:rPr>
              <w:t xml:space="preserve">BEST PRACTICE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Off-site Backup</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HIPAA §164.308(a)(7)</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AES-256 encrypted, BAA required with backup provider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A02020"/>
                <w:sz w:val="19"/>
                <w:szCs w:val="19"/>
              </w:rPr>
              <w:t xml:space="preserve">REQUIRED</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2.2 Top 5 Legal Risks and Mitigations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#1  </w:t>
            </w:r>
            <w:r>
              <w:rPr>
                <w:b/>
                <w:bCs/>
                <w:color w:val="D6E4F0"/>
                <w:sz w:val="18"/>
                <w:szCs w:val="18"/>
              </w:rPr>
              <w:t xml:space="preserve">[LEGAL / TECHNICAL]</w:t>
            </w:r>
            <w:r>
              <w:rPr>
                <w:b/>
                <w:bCs/>
                <w:color w:val="FDECEA"/>
                <w:sz w:val="18"/>
                <w:szCs w:val="18"/>
              </w:rPr>
              <w:t xml:space="preserve">  ● SEVERITY: HIGH</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PHI Leakage via Gradient Inversion Attack</w:t>
            </w:r>
          </w:p>
          <w:p>
            <w:pPr>
              <w:spacing w:before="0" w:after="40"/>
            </w:pPr>
            <w:r>
              <w:rPr>
                <w:b/>
                <w:bCs/>
                <w:color w:val="A02020"/>
                <w:sz w:val="20"/>
                <w:szCs w:val="20"/>
              </w:rPr>
              <w:t xml:space="preserve">⚠ Risk: </w:t>
            </w:r>
            <w:r>
              <w:rPr>
                <w:color w:val="3C3C3C"/>
                <w:sz w:val="20"/>
                <w:szCs w:val="20"/>
              </w:rPr>
              <w:t xml:space="preserve">Federated learning does not guarantee privacy by default. Model gradient updates can, under specific conditions, be used to reconstruct training samples — including patient records — through gradient inversion techniques (Zhu et al., 2019).</w:t>
            </w:r>
          </w:p>
          <w:p>
            <w:pPr>
              <w:spacing w:before="0" w:after="40"/>
            </w:pPr>
            <w:r>
              <w:rPr>
                <w:b/>
                <w:bCs/>
                <w:color w:val="1E6B2E"/>
                <w:sz w:val="20"/>
                <w:szCs w:val="20"/>
              </w:rPr>
              <w:t xml:space="preserve">✓ Mitigation: </w:t>
            </w:r>
            <w:r>
              <w:rPr>
                <w:color w:val="3C3C3C"/>
                <w:sz w:val="20"/>
                <w:szCs w:val="20"/>
              </w:rPr>
              <w:t xml:space="preserve">Apply ε-differential privacy (ε=1.0, δ=1e-5) via OpenDP library to all gradients before transmission. Clip gradient norms to a maximum of 1.0. Add calibrated Gaussian noise. Supplement with secure aggregation (pairwise masking) so the coordinator never sees individual clinic gradients.</w:t>
            </w:r>
          </w:p>
          <w:p>
            <w:pPr>
              <w:spacing w:before="0" w:after="0"/>
            </w:pPr>
            <w:r>
              <w:rPr>
                <w:b/>
                <w:bCs/>
                <w:color w:val="C07000"/>
                <w:sz w:val="20"/>
                <w:szCs w:val="20"/>
              </w:rPr>
              <w:t xml:space="preserve">⚡ Early Warning: </w:t>
            </w:r>
            <w:r>
              <w:rPr>
                <w:color w:val="3C3C3C"/>
                <w:sz w:val="20"/>
                <w:szCs w:val="20"/>
              </w:rPr>
              <w:t xml:space="preserve">Anomalous gradient magnitude spikes from a single clinic node, or FL coordinator logs showing unusually low privacy budget consumption.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#2  </w:t>
            </w:r>
            <w:r>
              <w:rPr>
                <w:b/>
                <w:bCs/>
                <w:color w:val="D6E4F0"/>
                <w:sz w:val="18"/>
                <w:szCs w:val="18"/>
              </w:rPr>
              <w:t xml:space="preserve">[LEGAL]</w:t>
            </w:r>
            <w:r>
              <w:rPr>
                <w:b/>
                <w:bCs/>
                <w:color w:val="FDECEA"/>
                <w:sz w:val="18"/>
                <w:szCs w:val="18"/>
              </w:rPr>
              <w:t xml:space="preserve">  ● SEVERITY: HIGH</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HIPAA Business Associate Agreement (BAA) Gap</w:t>
            </w:r>
          </w:p>
          <w:p>
            <w:pPr>
              <w:spacing w:before="0" w:after="40"/>
            </w:pPr>
            <w:r>
              <w:rPr>
                <w:b/>
                <w:bCs/>
                <w:color w:val="A02020"/>
                <w:sz w:val="20"/>
                <w:szCs w:val="20"/>
              </w:rPr>
              <w:t xml:space="preserve">⚠ Risk: </w:t>
            </w:r>
            <w:r>
              <w:rPr>
                <w:color w:val="3C3C3C"/>
                <w:sz w:val="20"/>
                <w:szCs w:val="20"/>
              </w:rPr>
              <w:t xml:space="preserve">Any entity that creates, receives, maintains, or transmits PHI on behalf of a covered entity is a Business Associate under HIPAA and requires a BAA. If the FL coordination server is hosted on a cloud provider (AWS, GCP, Azure) without a signed BAA, the clinic is in violation — even if no PHI reaches the server.</w:t>
            </w:r>
          </w:p>
          <w:p>
            <w:pPr>
              <w:spacing w:before="0" w:after="40"/>
            </w:pPr>
            <w:r>
              <w:rPr>
                <w:b/>
                <w:bCs/>
                <w:color w:val="1E6B2E"/>
                <w:sz w:val="20"/>
                <w:szCs w:val="20"/>
              </w:rPr>
              <w:t xml:space="preserve">✓ Mitigation: </w:t>
            </w:r>
            <w:r>
              <w:rPr>
                <w:color w:val="3C3C3C"/>
                <w:sz w:val="20"/>
                <w:szCs w:val="20"/>
              </w:rPr>
              <w:t xml:space="preserve">Execute BAA with every infrastructure vendor in the data flow, including the cloud provider hosting the FL coordinator. Note: The FL coordinator receives only DP-protected gradients, not PHI — but BAAs provide defense-in-depth. Use a BAA template reviewed by healthcare counsel. Maintain a BAA register updated quarterly.</w:t>
            </w:r>
          </w:p>
          <w:p>
            <w:pPr>
              <w:spacing w:before="0" w:after="0"/>
            </w:pPr>
            <w:r>
              <w:rPr>
                <w:b/>
                <w:bCs/>
                <w:color w:val="C07000"/>
                <w:sz w:val="20"/>
                <w:szCs w:val="20"/>
              </w:rPr>
              <w:t xml:space="preserve">⚡ Early Warning: </w:t>
            </w:r>
            <w:r>
              <w:rPr>
                <w:color w:val="3C3C3C"/>
                <w:sz w:val="20"/>
                <w:szCs w:val="20"/>
              </w:rPr>
              <w:t xml:space="preserve">New vendor onboarding without compliance team sign-off, or FL coordinator migration to a new cloud region without a corresponding BAA amendment.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#3  </w:t>
            </w:r>
            <w:r>
              <w:rPr>
                <w:b/>
                <w:bCs/>
                <w:color w:val="D6E4F0"/>
                <w:sz w:val="18"/>
                <w:szCs w:val="18"/>
              </w:rPr>
              <w:t xml:space="preserve">[LEGAL / REGULATORY]</w:t>
            </w:r>
            <w:r>
              <w:rPr>
                <w:b/>
                <w:bCs/>
                <w:color w:val="FDECEA"/>
                <w:sz w:val="18"/>
                <w:szCs w:val="18"/>
              </w:rPr>
              <w:t xml:space="preserve">  ● SEVERITY: HIGH</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AI as a Medical Device (SaMD) Regulatory Exposure</w:t>
            </w:r>
          </w:p>
          <w:p>
            <w:pPr>
              <w:spacing w:before="0" w:after="40"/>
            </w:pPr>
            <w:r>
              <w:rPr>
                <w:b/>
                <w:bCs/>
                <w:color w:val="A02020"/>
                <w:sz w:val="20"/>
                <w:szCs w:val="20"/>
              </w:rPr>
              <w:t xml:space="preserve">⚠ Risk: </w:t>
            </w:r>
            <w:r>
              <w:rPr>
                <w:color w:val="3C3C3C"/>
                <w:sz w:val="20"/>
                <w:szCs w:val="20"/>
              </w:rPr>
              <w:t xml:space="preserve">The FDA classifies software that provides differential diagnosis suggestions as Software as a Medical Device (SaMD). Depending on risk classification, this may require 510(k) clearance or De Novo designation. Deploying without appropriate FDA regulatory pathway creates significant liability.</w:t>
            </w:r>
          </w:p>
          <w:p>
            <w:pPr>
              <w:spacing w:before="0" w:after="40"/>
            </w:pPr>
            <w:r>
              <w:rPr>
                <w:b/>
                <w:bCs/>
                <w:color w:val="1E6B2E"/>
                <w:sz w:val="20"/>
                <w:szCs w:val="20"/>
              </w:rPr>
              <w:t xml:space="preserve">✓ Mitigation: </w:t>
            </w:r>
            <w:r>
              <w:rPr>
                <w:color w:val="3C3C3C"/>
                <w:sz w:val="20"/>
                <w:szCs w:val="20"/>
              </w:rPr>
              <w:t xml:space="preserve">Frame all AI outputs explicitly as 'clinical decision support' rather than 'diagnosis.' Under the 21st Century Cures Act, CDS software that displays the basis for recommendations and allows clinicians to override is exempt from FDA device regulation. Build and maintain CDS exemption documentation. Engage a regulatory consultant for a formal FDA risk classification opinion before commercial launch.</w:t>
            </w:r>
          </w:p>
          <w:p>
            <w:pPr>
              <w:spacing w:before="0" w:after="0"/>
            </w:pPr>
            <w:r>
              <w:rPr>
                <w:b/>
                <w:bCs/>
                <w:color w:val="C07000"/>
                <w:sz w:val="20"/>
                <w:szCs w:val="20"/>
              </w:rPr>
              <w:t xml:space="preserve">⚡ Early Warning: </w:t>
            </w:r>
            <w:r>
              <w:rPr>
                <w:color w:val="3C3C3C"/>
                <w:sz w:val="20"/>
                <w:szCs w:val="20"/>
              </w:rPr>
              <w:t xml:space="preserve">FDA publishes a new final guidance narrowing the CDS exemption scope, or a competitor receives 510(k) clearance creating regulatory pressure to differentiate.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#4  </w:t>
            </w:r>
            <w:r>
              <w:rPr>
                <w:b/>
                <w:bCs/>
                <w:color w:val="D6E4F0"/>
                <w:sz w:val="18"/>
                <w:szCs w:val="18"/>
              </w:rPr>
              <w:t xml:space="preserve">[LEGAL]</w:t>
            </w:r>
            <w:r>
              <w:rPr>
                <w:b/>
                <w:bCs/>
                <w:color w:val="FFF3CD"/>
                <w:sz w:val="18"/>
                <w:szCs w:val="18"/>
              </w:rPr>
              <w:t xml:space="preserve">  ● SEVERITY: MEDIUM</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GDPR Data Subject Rights Conflict with FL Training</w:t>
            </w:r>
          </w:p>
          <w:p>
            <w:pPr>
              <w:spacing w:before="0" w:after="40"/>
            </w:pPr>
            <w:r>
              <w:rPr>
                <w:b/>
                <w:bCs/>
                <w:color w:val="A02020"/>
                <w:sz w:val="20"/>
                <w:szCs w:val="20"/>
              </w:rPr>
              <w:t xml:space="preserve">⚠ Risk: </w:t>
            </w:r>
            <w:r>
              <w:rPr>
                <w:color w:val="3C3C3C"/>
                <w:sz w:val="20"/>
                <w:szCs w:val="20"/>
              </w:rPr>
              <w:t xml:space="preserve">Under GDPR Article 17 (Right to Erasure), EU patients can request deletion of their data. If a patient's data has already contributed to federated model training, 'unlearning' that contribution from aggregated model weights is technically challenging. Failure to honor this right within 30 days is a reportable violation.</w:t>
            </w:r>
          </w:p>
          <w:p>
            <w:pPr>
              <w:spacing w:before="0" w:after="40"/>
            </w:pPr>
            <w:r>
              <w:rPr>
                <w:b/>
                <w:bCs/>
                <w:color w:val="1E6B2E"/>
                <w:sz w:val="20"/>
                <w:szCs w:val="20"/>
              </w:rPr>
              <w:t xml:space="preserve">✓ Mitigation: </w:t>
            </w:r>
            <w:r>
              <w:rPr>
                <w:color w:val="3C3C3C"/>
                <w:sz w:val="20"/>
                <w:szCs w:val="20"/>
              </w:rPr>
              <w:t xml:space="preserve">Implement federated unlearning: maintain per-patient contribution logs with pseudonymous IDs. On erasure request, mark the patient's gradient contributions for exclusion in the next model retraining cycle. Document this process in the Privacy Impact Assessment. Provide a legally defensible technical explanation that gradient contributions are irreversibly anonymized.</w:t>
            </w:r>
          </w:p>
          <w:p>
            <w:pPr>
              <w:spacing w:before="0" w:after="0"/>
            </w:pPr>
            <w:r>
              <w:rPr>
                <w:b/>
                <w:bCs/>
                <w:color w:val="C07000"/>
                <w:sz w:val="20"/>
                <w:szCs w:val="20"/>
              </w:rPr>
              <w:t xml:space="preserve">⚡ Early Warning: </w:t>
            </w:r>
            <w:r>
              <w:rPr>
                <w:color w:val="3C3C3C"/>
                <w:sz w:val="20"/>
                <w:szCs w:val="20"/>
              </w:rPr>
              <w:t xml:space="preserve">Volume of erasure requests exceeds defined SLA, or EU regulatory guidance clarifies that gradient contributions constitute personal data requiring literal deletion.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#5  </w:t>
            </w:r>
            <w:r>
              <w:rPr>
                <w:b/>
                <w:bCs/>
                <w:color w:val="D6E4F0"/>
                <w:sz w:val="18"/>
                <w:szCs w:val="18"/>
              </w:rPr>
              <w:t xml:space="preserve">[LEGAL]</w:t>
            </w:r>
            <w:r>
              <w:rPr>
                <w:b/>
                <w:bCs/>
                <w:color w:val="FFF3CD"/>
                <w:sz w:val="18"/>
                <w:szCs w:val="18"/>
              </w:rPr>
              <w:t xml:space="preserve">  ● SEVERITY: MEDIUM</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Audit Log Integrity Challenge During Legal Discovery</w:t>
            </w:r>
          </w:p>
          <w:p>
            <w:pPr>
              <w:spacing w:before="0" w:after="40"/>
            </w:pPr>
            <w:r>
              <w:rPr>
                <w:b/>
                <w:bCs/>
                <w:color w:val="A02020"/>
                <w:sz w:val="20"/>
                <w:szCs w:val="20"/>
              </w:rPr>
              <w:t xml:space="preserve">⚠ Risk: </w:t>
            </w:r>
            <w:r>
              <w:rPr>
                <w:color w:val="3C3C3C"/>
                <w:sz w:val="20"/>
                <w:szCs w:val="20"/>
              </w:rPr>
              <w:t xml:space="preserve">If a clinic faces a malpractice claim or OCR investigation, audit logs must be produced in a format that demonstrates they have not been altered. Standard log files can be modified without detection, undermining their evidentiary value.</w:t>
            </w:r>
          </w:p>
          <w:p>
            <w:pPr>
              <w:spacing w:before="0" w:after="40"/>
            </w:pPr>
            <w:r>
              <w:rPr>
                <w:b/>
                <w:bCs/>
                <w:color w:val="1E6B2E"/>
                <w:sz w:val="20"/>
                <w:szCs w:val="20"/>
              </w:rPr>
              <w:t xml:space="preserve">✓ Mitigation: </w:t>
            </w:r>
            <w:r>
              <w:rPr>
                <w:color w:val="3C3C3C"/>
                <w:sz w:val="20"/>
                <w:szCs w:val="20"/>
              </w:rPr>
              <w:t xml:space="preserve">Implement Merkle-tree hash chain for all audit logs. Export in FHIR R4 AuditEvent format for legal discovery. Optionally anchor daily root hashes to a blockchain timestamp (OpenTimestamps) for irrefutable timestamping. Engage legal counsel to validate the evidentiary standard of this approach in the clinic's jurisdiction.</w:t>
            </w:r>
          </w:p>
          <w:p>
            <w:pPr>
              <w:spacing w:before="0" w:after="0"/>
            </w:pPr>
            <w:r>
              <w:rPr>
                <w:b/>
                <w:bCs/>
                <w:color w:val="C07000"/>
                <w:sz w:val="20"/>
                <w:szCs w:val="20"/>
              </w:rPr>
              <w:t xml:space="preserve">⚡ Early Warning: </w:t>
            </w:r>
            <w:r>
              <w:rPr>
                <w:color w:val="3C3C3C"/>
                <w:sz w:val="20"/>
                <w:szCs w:val="20"/>
              </w:rPr>
              <w:t xml:space="preserve">Audit log disk usage growing nonlinearly (possible log injection), or hash chain verification failures during routine integrity checks.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2.3 Patient Consent Flow</w:t>
      </w:r>
    </w:p>
    <w:p>
      <w:pPr>
        <w:spacing w:before="80" w:after="100" w:line="280"/>
      </w:pPr>
      <w:r>
        <w:rPr>
          <w:color w:val="3C3C3C"/>
          <w:sz w:val="22"/>
          <w:szCs w:val="22"/>
        </w:rPr>
        <w:t xml:space="preserve">A structured consent flow is required before any patient data is processed by the AI system. The following flow maps to both HIPAA authorization requirements and GDPR lawful basis requirements (Article 6(1)(a) — consent, or Article 9(2)(h) — medical treatment).</w:t>
      </w:r>
    </w:p>
    <w:p>
      <w:pPr>
        <w:spacing w:before="60" w:after="60"/>
      </w:pPr>
      <w:r>
        <w:t xml:space="preserve"/>
      </w:r>
    </w:p>
    <w:p>
      <w:pPr>
        <w:pStyle w:val="ListParagraph"/>
        <w:numPr>
          <w:ilvl w:val="0"/>
          <w:numId w:val="3"/>
        </w:numPr>
        <w:spacing w:before="60" w:after="60" w:line="260"/>
      </w:pPr>
      <w:r>
        <w:rPr>
          <w:color w:val="3C3C3C"/>
          <w:sz w:val="22"/>
          <w:szCs w:val="22"/>
        </w:rPr>
        <w:t xml:space="preserve">Patient arrives for consultation. Front desk system flags if AI-assisted clinical support is enabled.</w:t>
      </w:r>
    </w:p>
    <w:p>
      <w:pPr>
        <w:pStyle w:val="ListParagraph"/>
        <w:numPr>
          <w:ilvl w:val="0"/>
          <w:numId w:val="3"/>
        </w:numPr>
        <w:spacing w:before="60" w:after="60" w:line="260"/>
      </w:pPr>
      <w:r>
        <w:rPr>
          <w:color w:val="3C3C3C"/>
          <w:sz w:val="22"/>
          <w:szCs w:val="22"/>
        </w:rPr>
        <w:t xml:space="preserve">Patient is presented with a plain-language AI Disclosure Notice explaining: what the AI analyzes, that no data leaves the clinic, that AI output is advisory only, and that a physician makes all clinical decisions.</w:t>
      </w:r>
    </w:p>
    <w:p>
      <w:pPr>
        <w:pStyle w:val="ListParagraph"/>
        <w:numPr>
          <w:ilvl w:val="0"/>
          <w:numId w:val="3"/>
        </w:numPr>
        <w:spacing w:before="60" w:after="60" w:line="260"/>
      </w:pPr>
      <w:r>
        <w:rPr>
          <w:color w:val="3C3C3C"/>
          <w:sz w:val="22"/>
          <w:szCs w:val="22"/>
        </w:rPr>
        <w:t xml:space="preserve">Patient provides explicit opt-in (GDPR) or receives Notice of Privacy Practices (HIPAA). Consent is documented with timestamp and patient identifier in the audit log.</w:t>
      </w:r>
    </w:p>
    <w:p>
      <w:pPr>
        <w:pStyle w:val="ListParagraph"/>
        <w:numPr>
          <w:ilvl w:val="0"/>
          <w:numId w:val="3"/>
        </w:numPr>
        <w:spacing w:before="60" w:after="60" w:line="260"/>
      </w:pPr>
      <w:r>
        <w:rPr>
          <w:color w:val="3C3C3C"/>
          <w:sz w:val="22"/>
          <w:szCs w:val="22"/>
        </w:rPr>
        <w:t xml:space="preserve">If patient declines AI analysis, their session is flagged. The inference engine skips this patient's data. Clinical care is unaffected.</w:t>
      </w:r>
    </w:p>
    <w:p>
      <w:pPr>
        <w:pStyle w:val="ListParagraph"/>
        <w:numPr>
          <w:ilvl w:val="0"/>
          <w:numId w:val="3"/>
        </w:numPr>
        <w:spacing w:before="60" w:after="60" w:line="260"/>
      </w:pPr>
      <w:r>
        <w:rPr>
          <w:color w:val="3C3C3C"/>
          <w:sz w:val="22"/>
          <w:szCs w:val="22"/>
        </w:rPr>
        <w:t xml:space="preserve">Patient can withdraw consent at any time. On withdrawal, future inference is blocked and an erasure request is queued for the federated unlearning pipeline.</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03</w:t>
            </w:r>
          </w:p>
          <w:p>
            <w:pPr>
              <w:spacing w:before="0" w:after="60"/>
            </w:pPr>
            <w:r>
              <w:rPr>
                <w:rFonts w:ascii="Arial" w:cs="Arial" w:eastAsia="Arial" w:hAnsi="Arial"/>
                <w:b/>
                <w:bCs/>
                <w:color w:val="FFFFFF"/>
                <w:sz w:val="36"/>
                <w:szCs w:val="36"/>
              </w:rPr>
              <w:t xml:space="preserve">AI Diagnostic Module Design</w:t>
            </w:r>
          </w:p>
          <w:p>
            <w:pPr>
              <w:spacing w:before="0" w:after="0"/>
            </w:pPr>
            <w:r>
              <w:rPr>
                <w:rFonts w:ascii="Arial" w:cs="Arial" w:eastAsia="Arial" w:hAnsi="Arial"/>
                <w:color w:val="D6E4F0"/>
                <w:sz w:val="22"/>
                <w:szCs w:val="22"/>
              </w:rPr>
              <w:t xml:space="preserve">Clinical inputs, model outputs, XAI implementation, and clinician override framework</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3.1 Clinical Inputs Accepted</w:t>
      </w:r>
    </w:p>
    <w:p>
      <w:pPr>
        <w:spacing w:before="80" w:after="100" w:line="280"/>
      </w:pPr>
      <w:r>
        <w:rPr>
          <w:color w:val="3C3C3C"/>
          <w:sz w:val="22"/>
          <w:szCs w:val="22"/>
        </w:rPr>
        <w:t xml:space="preserve">The diagnostic model is designed as a multi-modal fusion architecture that accepts four categories of structured clinical inputs. Unstructured text (free-form clinical notes) is intentionally excluded from the MVP to simplify the privacy boundary and reduce NLP complexity.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Input Category</w:t>
            </w:r>
          </w:p>
        </w:tc>
        <w:tc>
          <w:tcPr>
            <w:tcW w:type="dxa" w:w="69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Lab Results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CBC, BMP, CMP, LFTs, TSH, HbA1c, lipid panel, urinalysis, culture sensitivities — provided as key-value pairs with reference ranges. Values normalized using population z-score statistics stored locally.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Vital Signs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BP (systolic/diastolic), heart rate, respiratory rate, temperature (°C), SpO2, weight, BMI, pain score. Time-series deltas computed for trending (current vs. last 3 visits).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Imaging Metadata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NOT images themselves (avoids DICOM complexity and PHI exposure risk). Structured metadata only: modality, body part examined, radiologist impression codes (SNOMED CT), laterality, study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Symptom Logs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Chief complaint mapped to SNOMED CT concept IDs, symptom duration, severity (1–10 VAS), onset pattern (sudden/gradual), associated symptoms, aggravating/relieving factors.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Medication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Active medications as RxNorm codes, dosage, frequency, duration. Used for drug-interaction-aware differential generation and contraindication flagging.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Encounter History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ICD-10 coded prior diagnoses, surgical history, family history (structured codes), allergy list (NDF-RT codes). Limited to 24-month lookback window for privacy minimization.</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3.2 Model Outputs</w:t>
      </w:r>
    </w:p>
    <w:p>
      <w:pPr>
        <w:spacing w:before="80" w:after="100" w:line="280"/>
      </w:pPr>
      <w:r>
        <w:rPr>
          <w:color w:val="3C3C3C"/>
          <w:sz w:val="22"/>
          <w:szCs w:val="22"/>
        </w:rPr>
        <w:t xml:space="preserve">The model produces five output types, each with an associated confidence score and evidence chain. All outputs are advisory — the clinician remains the decision-maker of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Output Type</w:t>
            </w:r>
          </w:p>
        </w:tc>
        <w:tc>
          <w:tcPr>
            <w:tcW w:type="dxa" w:w="69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Differential Diagnosis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Ranked list of up to 5 ICD-10 coded diagnoses with posterior probability scores (0–100%). Each diagnosis includes a feature attribution vector (which inputs drove the prediction).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Risk Stratification Score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A composite risk score (0–100) with categorical label: Low / Moderate / High / Critical. Sub-scores provided for cardiovascular, metabolic, and acute deterioration domains.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Referral 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Binary flags for 12 specialist categories (cardiology, nephrology, oncology, etc.) with urgency level (routine / urgent / emergent) and the specific clinical finding that triggered the flag.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Drug Interaction Alerts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Contraindications and interactions between active medications and proposed diagnoses. Severity graded as Minor / Moderate / Major using OpenFDA interaction database (cached locally).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Missing Data Prompts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Proactive list of additional clinical inputs that would improve diagnostic confidence. Example: 'Adding a TSH value would increase differential confidence by an estimated 23%.'</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3.3 Explainability (XAI) Framework</w:t>
      </w:r>
    </w:p>
    <w:p>
      <w:pPr>
        <w:spacing w:before="80" w:after="100" w:line="280"/>
      </w:pPr>
      <w:r>
        <w:rPr>
          <w:color w:val="3C3C3C"/>
          <w:sz w:val="22"/>
          <w:szCs w:val="22"/>
        </w:rPr>
        <w:t xml:space="preserve">Black-box outputs are a non-starter for physician adoption and create unacceptable medical liability. SecureDx AI implements a three-layer explainability architecture.</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Layer 1 — Feature Attribution (SHAP Values)</w:t>
      </w:r>
    </w:p>
    <w:p>
      <w:pPr>
        <w:spacing w:before="80" w:after="100" w:line="280"/>
      </w:pPr>
      <w:r>
        <w:rPr>
          <w:color w:val="3C3C3C"/>
          <w:sz w:val="22"/>
          <w:szCs w:val="22"/>
        </w:rPr>
        <w:t xml:space="preserve">For every differential diagnosis, SHAP (SHapley Additive exPlanations) values are computed to show exactly which clinical inputs pushed the prediction up or down. These are displayed as a horizontal bar chart in the physician UI alongside each diagnosis.</w:t>
      </w:r>
    </w:p>
    <w:p>
      <w:pPr>
        <w:spacing w:before="60" w:after="60"/>
      </w:pPr>
      <w:r>
        <w:t xml:space="preserve"/>
      </w:r>
    </w:p>
    <w:p>
      <w:pPr>
        <w:pStyle w:val="ListParagraph"/>
        <w:numPr>
          <w:ilvl w:val="0"/>
          <w:numId w:val="2"/>
        </w:numPr>
        <w:spacing w:before="60" w:after="60" w:line="260"/>
      </w:pPr>
      <w:r>
        <w:rPr>
          <w:color w:val="3C3C3C"/>
          <w:sz w:val="22"/>
          <w:szCs w:val="22"/>
        </w:rPr>
        <w:t xml:space="preserve">SHAP values computed using TreeExplainer (for gradient boosted models) or KernelExplainer (for neural components)</w:t>
      </w:r>
    </w:p>
    <w:p>
      <w:pPr>
        <w:pStyle w:val="ListParagraph"/>
        <w:numPr>
          <w:ilvl w:val="0"/>
          <w:numId w:val="2"/>
        </w:numPr>
        <w:spacing w:before="60" w:after="60" w:line="260"/>
      </w:pPr>
      <w:r>
        <w:rPr>
          <w:color w:val="3C3C3C"/>
          <w:sz w:val="22"/>
          <w:szCs w:val="22"/>
        </w:rPr>
        <w:t xml:space="preserve">Top 5 contributing features displayed per diagnosis with magnitude and direction</w:t>
      </w:r>
    </w:p>
    <w:p>
      <w:pPr>
        <w:pStyle w:val="ListParagraph"/>
        <w:numPr>
          <w:ilvl w:val="0"/>
          <w:numId w:val="2"/>
        </w:numPr>
        <w:spacing w:before="60" w:after="60" w:line="260"/>
      </w:pPr>
      <w:r>
        <w:rPr>
          <w:color w:val="3C3C3C"/>
          <w:sz w:val="22"/>
          <w:szCs w:val="22"/>
        </w:rPr>
        <w:t xml:space="preserve">Reference baseline shown: 'This prediction is X% above/below the population baseline for similar patient profiles'</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Layer 2 — Evidence Narrative (Clinical NLG)</w:t>
      </w:r>
    </w:p>
    <w:p>
      <w:pPr>
        <w:spacing w:before="80" w:after="100" w:line="280"/>
      </w:pPr>
      <w:r>
        <w:rPr>
          <w:color w:val="3C3C3C"/>
          <w:sz w:val="22"/>
          <w:szCs w:val="22"/>
        </w:rPr>
        <w:t xml:space="preserve">A templated natural language generation (NLG) engine converts SHAP attributions into a plain-English clinical rationale. Example: 'Elevated creatinine (2.4 mg/dL, above normal range), combined with peripheral edema and hypertension, suggests consideration of chronic kidney disease. The elevated potassium (5.8 mEq/L) increases urgency.'</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Layer 3 — Similar Case Reference</w:t>
      </w:r>
    </w:p>
    <w:p>
      <w:pPr>
        <w:spacing w:before="80" w:after="100" w:line="280"/>
      </w:pPr>
      <w:r>
        <w:rPr>
          <w:color w:val="3C3C3C"/>
          <w:sz w:val="22"/>
          <w:szCs w:val="22"/>
        </w:rPr>
        <w:t xml:space="preserve">For each top-ranked diagnosis, the system retrieves anonymized aggregate statistics from the local clinic's historical case data: 'In 847 similar patient profiles at this clinic, this diagnosis was confirmed in 62% of cases.' This contextualizes the model output with locally relevant evidence.</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3.4 Clinician Override and Feedback Loop</w:t>
      </w:r>
    </w:p>
    <w:p>
      <w:pPr>
        <w:spacing w:before="80" w:after="100" w:line="280"/>
      </w:pPr>
      <w:r>
        <w:rPr>
          <w:color w:val="3C3C3C"/>
          <w:sz w:val="22"/>
          <w:szCs w:val="22"/>
        </w:rPr>
        <w:t xml:space="preserve">Every AI output includes a mandatory override interface. This serves two purposes: it maintains the physician as the legally responsible decision-maker, and it generates labeled training data for the federated learning improvement cycle.</w:t>
      </w:r>
    </w:p>
    <w:p>
      <w:pPr>
        <w:spacing w:before="60" w:after="60"/>
      </w:pPr>
      <w:r>
        <w:t xml:space="preserve"/>
      </w:r>
    </w:p>
    <w:p>
      <w:pPr>
        <w:pStyle w:val="ListParagraph"/>
        <w:numPr>
          <w:ilvl w:val="0"/>
          <w:numId w:val="2"/>
        </w:numPr>
        <w:spacing w:before="60" w:after="60" w:line="260"/>
      </w:pPr>
      <w:r>
        <w:rPr>
          <w:color w:val="3C3C3C"/>
          <w:sz w:val="22"/>
          <w:szCs w:val="22"/>
        </w:rPr>
        <w:t xml:space="preserve">Accept — Physician accepts the AI suggestion. Logged as positive feedback signal.</w:t>
      </w:r>
    </w:p>
    <w:p>
      <w:pPr>
        <w:pStyle w:val="ListParagraph"/>
        <w:numPr>
          <w:ilvl w:val="0"/>
          <w:numId w:val="2"/>
        </w:numPr>
        <w:spacing w:before="60" w:after="60" w:line="260"/>
      </w:pPr>
      <w:r>
        <w:rPr>
          <w:color w:val="3C3C3C"/>
          <w:sz w:val="22"/>
          <w:szCs w:val="22"/>
        </w:rPr>
        <w:t xml:space="preserve">Modify — Physician selects a different diagnosis from the differential or enters an ICD-10 code manually. Logged as correction signal.</w:t>
      </w:r>
    </w:p>
    <w:p>
      <w:pPr>
        <w:pStyle w:val="ListParagraph"/>
        <w:numPr>
          <w:ilvl w:val="0"/>
          <w:numId w:val="2"/>
        </w:numPr>
        <w:spacing w:before="60" w:after="60" w:line="260"/>
      </w:pPr>
      <w:r>
        <w:rPr>
          <w:color w:val="3C3C3C"/>
          <w:sz w:val="22"/>
          <w:szCs w:val="22"/>
        </w:rPr>
        <w:t xml:space="preserve">Reject — Physician rejects all AI suggestions. Physician documents their own diagnosis. Logged as negative feedback signal with optional reason code.</w:t>
      </w:r>
    </w:p>
    <w:p>
      <w:pPr>
        <w:pStyle w:val="ListParagraph"/>
        <w:numPr>
          <w:ilvl w:val="0"/>
          <w:numId w:val="2"/>
        </w:numPr>
        <w:spacing w:before="60" w:after="60" w:line="260"/>
      </w:pPr>
      <w:r>
        <w:rPr>
          <w:color w:val="3C3C3C"/>
          <w:sz w:val="22"/>
          <w:szCs w:val="22"/>
        </w:rPr>
        <w:t xml:space="preserve">Flag for Review — Physician flags the case as unusual or the AI output as potentially problematic. Routes to the local model quality review queue.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2E" w:sz="2"/>
              <w:left w:val="single" w:color="1E6B2E" w:sz="2"/>
              <w:bottom w:val="single" w:color="1E6B2E" w:sz="2"/>
              <w:right w:val="single" w:color="1E6B2E" w:sz="2"/>
            </w:tcBorders>
            <w:shd w:fill="D4EDDA" w:val="clear"/>
            <w:tcMar>
              <w:top w:type="dxa" w:w="120"/>
              <w:left w:type="dxa" w:w="160"/>
              <w:bottom w:type="dxa" w:w="120"/>
              <w:right w:type="dxa" w:w="160"/>
            </w:tcMar>
          </w:tcPr>
          <w:p>
            <w:pPr>
              <w:spacing w:before="0" w:after="60"/>
            </w:pPr>
            <w:r>
              <w:rPr>
                <w:rFonts w:ascii="Arial" w:cs="Arial" w:eastAsia="Arial" w:hAnsi="Arial"/>
                <w:b/>
                <w:bCs/>
                <w:color w:val="1E6B2E"/>
                <w:sz w:val="20"/>
                <w:szCs w:val="20"/>
              </w:rPr>
              <w:t xml:space="preserve">REGULATION REQUIRED</w:t>
            </w:r>
          </w:p>
          <w:p>
            <w:pPr>
              <w:spacing w:before="0" w:after="0" w:line="260"/>
            </w:pPr>
            <w:r>
              <w:rPr>
                <w:color w:val="3C3C3C"/>
                <w:sz w:val="21"/>
                <w:szCs w:val="21"/>
              </w:rPr>
              <w:t xml:space="preserve">Under the FDA's 2019 Clinical Decision Support Software guidance, for the system to qualify as exempt from device regulation under the 21st Century Cures Act, it must: (1) display the basis for recommendations, (2) not replace clinical judgment, and (3) allow the clinician to independently review the basis for recommendations. All three conditions are satisfied by this XAI + override design.</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04</w:t>
            </w:r>
          </w:p>
          <w:p>
            <w:pPr>
              <w:spacing w:before="0" w:after="60"/>
            </w:pPr>
            <w:r>
              <w:rPr>
                <w:rFonts w:ascii="Arial" w:cs="Arial" w:eastAsia="Arial" w:hAnsi="Arial"/>
                <w:b/>
                <w:bCs/>
                <w:color w:val="FFFFFF"/>
                <w:sz w:val="36"/>
                <w:szCs w:val="36"/>
              </w:rPr>
              <w:t xml:space="preserve">Federated Learning Strategy</w:t>
            </w:r>
          </w:p>
          <w:p>
            <w:pPr>
              <w:spacing w:before="0" w:after="0"/>
            </w:pPr>
            <w:r>
              <w:rPr>
                <w:rFonts w:ascii="Arial" w:cs="Arial" w:eastAsia="Arial" w:hAnsi="Arial"/>
                <w:color w:val="D6E4F0"/>
                <w:sz w:val="22"/>
                <w:szCs w:val="22"/>
              </w:rPr>
              <w:t xml:space="preserve">Aggregation approach, node requirements, drift detection, opt-out protocol, and data poisoning defense</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4.1 Model Aggregation Approach</w:t>
      </w:r>
    </w:p>
    <w:p>
      <w:pPr>
        <w:spacing w:before="80" w:after="100" w:line="280"/>
      </w:pPr>
      <w:r>
        <w:rPr>
          <w:color w:val="3C3C3C"/>
          <w:sz w:val="22"/>
          <w:szCs w:val="22"/>
        </w:rPr>
        <w:t xml:space="preserve">SecureDx AI uses Federated Averaging (FedAvg) as the primary aggregation algorithm, extended with Byzantine-fault tolerance and differential privacy for production security. FedAvg was selected over more complex alternatives (FedProx, SCAFFOLD) for its simplicity of implementation, which directly reduces attack surface.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Base Algorithm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FedAvg (McMahan et al., 2017) — weighted average of client model updates, with weight proportional to local training set size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Privacy Layer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ε-Differential Privacy (ε=1.0, δ=1e-5) applied at the client before upload. Gradient clipping (L2 norm ≤ 1.0) + Gaussian noise addition via OpenDP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Poisoning Defense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Krum aggregation rule as primary Byzantine-fault-tolerant (BFT) aggregator. Trimmed Mean as fallback. Anomalous gradient submissions quarantined pending review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Secure Aggregation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Pairwise random masking (Bonawitz et al.) ensures the coordinator sees only the sum of masked gradients, not individual clinic contributions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Aggregation Trigger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Asynchronous: when ≥5 clinic nodes have submitted gradients for the current round, OR every 7 days (whichever comes first)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Communication Efficiency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Top-k gradient sparsification (k=10% of parameters) reduces upload size by ~90% while preserving 95%+ of accuracy gain per round</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4.2 Minimum Node Requirements</w:t>
      </w:r>
    </w:p>
    <w:p>
      <w:pPr>
        <w:spacing w:before="80" w:after="100" w:line="280"/>
      </w:pPr>
      <w:r>
        <w:rPr>
          <w:color w:val="3C3C3C"/>
          <w:sz w:val="22"/>
          <w:szCs w:val="22"/>
        </w:rPr>
        <w:t xml:space="preserve">Federated learning requires a minimum number of participating clinic nodes to provide meaningful learning signal while maintaining differential privacy guarantees. Below this threshold, the privacy budget is consumed too quickly and gradient updates become too sparse to converge.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EBF3FA" w:val="clear"/>
            <w:tcMar>
              <w:top w:type="dxa" w:w="120"/>
              <w:left w:type="dxa" w:w="160"/>
              <w:bottom w:type="dxa" w:w="120"/>
              <w:right w:type="dxa" w:w="160"/>
            </w:tcMar>
          </w:tcPr>
          <w:p>
            <w:pPr>
              <w:spacing w:before="0" w:after="60"/>
            </w:pPr>
            <w:r>
              <w:rPr>
                <w:rFonts w:ascii="Arial" w:cs="Arial" w:eastAsia="Arial" w:hAnsi="Arial"/>
                <w:b/>
                <w:bCs/>
                <w:color w:val="1A4E8F"/>
                <w:sz w:val="20"/>
                <w:szCs w:val="20"/>
              </w:rPr>
              <w:t xml:space="preserve">Minimum Viable Federation: 5 Clinic Nodes</w:t>
            </w:r>
          </w:p>
          <w:p>
            <w:pPr>
              <w:spacing w:before="0" w:after="0" w:line="260"/>
            </w:pPr>
            <w:r>
              <w:rPr>
                <w:color w:val="3C3C3C"/>
                <w:sz w:val="21"/>
                <w:szCs w:val="21"/>
              </w:rPr>
              <w:t xml:space="preserve">At ε=1.0 differential privacy, a minimum of 5 clinics is required for the aggregated gradients to provide a privacy amplification factor sufficient to prevent individual patient re-identification from gradient analysis. 10+ nodes is strongly preferred for statistical robustness. 20+ nodes begins to provide meaningful convergence speed improvements.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Node Count</w:t>
            </w:r>
          </w:p>
        </w:tc>
        <w:tc>
          <w:tcPr>
            <w:tcW w:type="dxa" w:w="67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Performance Characteristics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5 clinics (minimum)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Meets DP privacy amplification threshold. Model convergence is slow (40–60 rounds) but achievable. Diagnostic performance estimated at 78–82% top-1 accuracy.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10–20 clinics (recommended)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Strong privacy amplification. Convergence in 20–30 rounds. Diagnostic accuracy 85–88%. Sufficient data diversity for generalization across clinic types.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50+ clinics (target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Near-optimal FL performance. Convergence in 10–15 rounds. Accuracy 90–93%. Sufficient node count to tolerate up to 10% Byzantine nodes.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4.3 Model Drift Detection</w:t>
      </w:r>
    </w:p>
    <w:p>
      <w:pPr>
        <w:spacing w:before="80" w:after="100" w:line="280"/>
      </w:pPr>
      <w:r>
        <w:rPr>
          <w:color w:val="3C3C3C"/>
          <w:sz w:val="22"/>
          <w:szCs w:val="22"/>
        </w:rPr>
        <w:t xml:space="preserve">Model drift in federated healthcare AI occurs when the global model's performance degrades on local data due to population shifts, seasonal disease patterns, or changes in clinic demographics. SecureDx AI implements a three-layer drift monitoring system.</w:t>
      </w:r>
    </w:p>
    <w:p>
      <w:pPr>
        <w:spacing w:before="60" w:after="60"/>
      </w:pPr>
      <w:r>
        <w:t xml:space="preserve"/>
      </w:r>
    </w:p>
    <w:p>
      <w:pPr>
        <w:pStyle w:val="ListParagraph"/>
        <w:numPr>
          <w:ilvl w:val="0"/>
          <w:numId w:val="2"/>
        </w:numPr>
        <w:spacing w:before="60" w:after="60" w:line="260"/>
      </w:pPr>
      <w:r>
        <w:rPr>
          <w:color w:val="3C3C3C"/>
          <w:sz w:val="22"/>
          <w:szCs w:val="22"/>
        </w:rPr>
        <w:t xml:space="preserve">Local Performance Monitor — Each clinic node tracks inference accuracy on locally-labeled cases (physician override rate as proxy metric). A &gt;15% increase in override rate over a 30-day rolling window triggers a local drift alert.</w:t>
      </w:r>
    </w:p>
    <w:p>
      <w:pPr>
        <w:pStyle w:val="ListParagraph"/>
        <w:numPr>
          <w:ilvl w:val="0"/>
          <w:numId w:val="2"/>
        </w:numPr>
        <w:spacing w:before="60" w:after="60" w:line="260"/>
      </w:pPr>
      <w:r>
        <w:rPr>
          <w:color w:val="3C3C3C"/>
          <w:sz w:val="22"/>
          <w:szCs w:val="22"/>
        </w:rPr>
        <w:t xml:space="preserve">Gradient Cosine Similarity — The FL coordinator monitors the cosine similarity between consecutive rounds' aggregated gradients. Cosine similarity &lt;0.7 between rounds indicates significant distribution shift.</w:t>
      </w:r>
    </w:p>
    <w:p>
      <w:pPr>
        <w:pStyle w:val="ListParagraph"/>
        <w:numPr>
          <w:ilvl w:val="0"/>
          <w:numId w:val="2"/>
        </w:numPr>
        <w:spacing w:before="60" w:after="60" w:line="260"/>
      </w:pPr>
      <w:r>
        <w:rPr>
          <w:color w:val="3C3C3C"/>
          <w:sz w:val="22"/>
          <w:szCs w:val="22"/>
        </w:rPr>
        <w:t xml:space="preserve">Population Covariate Shift Detector — The Kolmogorov-Smirnov test is run monthly on the distribution of input features (labs, vitals) versus the training baseline. Significant p-value (&lt;0.01) triggers a model retraining recommendation.</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4.4 Clinic Opt-Out Protocol</w:t>
      </w:r>
    </w:p>
    <w:p>
      <w:pPr>
        <w:spacing w:before="80" w:after="100" w:line="280"/>
      </w:pPr>
      <w:r>
        <w:rPr>
          <w:color w:val="3C3C3C"/>
          <w:sz w:val="22"/>
          <w:szCs w:val="22"/>
        </w:rPr>
        <w:t xml:space="preserve">Any clinic must be able to withdraw from the federated learning network at any time without degrading the global model for remaining participants. The opt-out design is a fundamental trust requirement for clinic adoption.</w:t>
      </w:r>
    </w:p>
    <w:p>
      <w:pPr>
        <w:spacing w:before="60" w:after="60"/>
      </w:pPr>
      <w:r>
        <w:t xml:space="preserve"/>
      </w:r>
    </w:p>
    <w:p>
      <w:pPr>
        <w:pStyle w:val="ListParagraph"/>
        <w:numPr>
          <w:ilvl w:val="0"/>
          <w:numId w:val="3"/>
        </w:numPr>
        <w:spacing w:before="60" w:after="60" w:line="260"/>
      </w:pPr>
      <w:r>
        <w:rPr>
          <w:color w:val="3C3C3C"/>
          <w:sz w:val="22"/>
          <w:szCs w:val="22"/>
        </w:rPr>
        <w:t xml:space="preserve">Clinic administrator initiates opt-out via local admin UI. A cryptographically signed opt-out request is sent to the FL coordinator.</w:t>
      </w:r>
    </w:p>
    <w:p>
      <w:pPr>
        <w:pStyle w:val="ListParagraph"/>
        <w:numPr>
          <w:ilvl w:val="0"/>
          <w:numId w:val="3"/>
        </w:numPr>
        <w:spacing w:before="60" w:after="60" w:line="260"/>
      </w:pPr>
      <w:r>
        <w:rPr>
          <w:color w:val="3C3C3C"/>
          <w:sz w:val="22"/>
          <w:szCs w:val="22"/>
        </w:rPr>
        <w:t xml:space="preserve">The coordinator marks the clinic as inactive. No future gradient submissions are accepted from this clinic's node key.</w:t>
      </w:r>
    </w:p>
    <w:p>
      <w:pPr>
        <w:pStyle w:val="ListParagraph"/>
        <w:numPr>
          <w:ilvl w:val="0"/>
          <w:numId w:val="3"/>
        </w:numPr>
        <w:spacing w:before="60" w:after="60" w:line="260"/>
      </w:pPr>
      <w:r>
        <w:rPr>
          <w:color w:val="3C3C3C"/>
          <w:sz w:val="22"/>
          <w:szCs w:val="22"/>
        </w:rPr>
        <w:t xml:space="preserve">The global model is NOT retrained to remove the clinic's historical contributions (this is technically infeasible at scale and would be disruptive). The contribution is simply not included in future rounds.</w:t>
      </w:r>
    </w:p>
    <w:p>
      <w:pPr>
        <w:pStyle w:val="ListParagraph"/>
        <w:numPr>
          <w:ilvl w:val="0"/>
          <w:numId w:val="3"/>
        </w:numPr>
        <w:spacing w:before="60" w:after="60" w:line="260"/>
      </w:pPr>
      <w:r>
        <w:rPr>
          <w:color w:val="3C3C3C"/>
          <w:sz w:val="22"/>
          <w:szCs w:val="22"/>
        </w:rPr>
        <w:t xml:space="preserve">The clinic retains its current local model weights and can continue using local inference indefinitely — it simply stops receiving global updates.</w:t>
      </w:r>
    </w:p>
    <w:p>
      <w:pPr>
        <w:pStyle w:val="ListParagraph"/>
        <w:numPr>
          <w:ilvl w:val="0"/>
          <w:numId w:val="3"/>
        </w:numPr>
        <w:spacing w:before="60" w:after="60" w:line="260"/>
      </w:pPr>
      <w:r>
        <w:rPr>
          <w:color w:val="3C3C3C"/>
          <w:sz w:val="22"/>
          <w:szCs w:val="22"/>
        </w:rPr>
        <w:t xml:space="preserve">Rejoining is possible by generating a new node key and completing re-onboarding, including a fresh data quality audit.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7000" w:sz="2"/>
              <w:left w:val="single" w:color="C07000" w:sz="2"/>
              <w:bottom w:val="single" w:color="C07000" w:sz="2"/>
              <w:right w:val="single" w:color="C07000" w:sz="2"/>
            </w:tcBorders>
            <w:shd w:fill="FFF3CD" w:val="clear"/>
            <w:tcMar>
              <w:top w:type="dxa" w:w="120"/>
              <w:left w:type="dxa" w:w="160"/>
              <w:bottom w:type="dxa" w:w="120"/>
              <w:right w:type="dxa" w:w="160"/>
            </w:tcMar>
          </w:tcPr>
          <w:p>
            <w:pPr>
              <w:spacing w:before="0" w:after="60"/>
            </w:pPr>
            <w:r>
              <w:rPr>
                <w:rFonts w:ascii="Arial" w:cs="Arial" w:eastAsia="Arial" w:hAnsi="Arial"/>
                <w:b/>
                <w:bCs/>
                <w:color w:val="C07000"/>
                <w:sz w:val="20"/>
                <w:szCs w:val="20"/>
              </w:rPr>
              <w:t xml:space="preserve">Trade-off Note</w:t>
            </w:r>
          </w:p>
          <w:p>
            <w:pPr>
              <w:spacing w:before="0" w:after="0" w:line="260"/>
            </w:pPr>
            <w:r>
              <w:rPr>
                <w:color w:val="3C3C3C"/>
                <w:sz w:val="21"/>
                <w:szCs w:val="21"/>
              </w:rPr>
              <w:t xml:space="preserve">Not retraining the global model to remove a departed clinic's historical contributions means the model's knowledge cannot be fully 'un-learned' — analogous to how a human physician's knowledge cannot be erased. This is disclosed in the consent documentation and is legally defensible under the 'technical infeasibility' provision of GDPR Article 17(3)(d). For clinics requiring complete data deletion (e.g., GDPR erasure request), a full model retraining from remaining nodes can be triggered as a premium service.</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4.5 Data Poisoning Defense (Byzantine-Fault Tolerance)</w:t>
      </w:r>
    </w:p>
    <w:p>
      <w:pPr>
        <w:spacing w:before="80" w:after="100" w:line="280"/>
      </w:pPr>
      <w:r>
        <w:rPr>
          <w:color w:val="3C3C3C"/>
          <w:sz w:val="22"/>
          <w:szCs w:val="22"/>
        </w:rPr>
        <w:t xml:space="preserve">A compromised clinic node could attempt to degrade the global model by submitting malicious gradient updates (model poisoning) or inject backdoors into the aggregate model. SecureDx AI implements Byzantine-fault-tolerant aggregation to neutralize this threat.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Defense Mechanism</w:t>
            </w:r>
          </w:p>
        </w:tc>
        <w:tc>
          <w:tcPr>
            <w:tcW w:type="dxa" w:w="67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Krum Aggregation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Primary BFT rule. Krum selects the gradient update with the minimum sum of squared Euclidean distances to its k nearest neighbors. Statistically isolates outlier gradients from malicious nodes. Tolerates up to f Byzantine nodes with n ≥ 2f+3 total nodes.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Trimmed Mean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Fallback aggregator. For each gradient dimension, the top and bottom 10% of values (by magnitude) are discarded before averaging. Robust to coordinate-wise attacks.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Gradient Norm Clipping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All gradient updates are L2-norm clipped to a maximum of 1.0 before DP noise addition. Prevents high-magnitude malicious gradients from dominating the aggregate.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Cosine Similarity Filter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Gradient updates with cosine similarity &lt;0.3 to the running aggregate are quarantined and flagged for manual review. This catches directional attacks.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Node Reputation Score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Each clinic node maintains a reputation score based on historical gradient quality. Anomalous submissions decay the score. Low-reputation nodes require additional manual verification before contributions are included.</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05</w:t>
            </w:r>
          </w:p>
          <w:p>
            <w:pPr>
              <w:spacing w:before="0" w:after="60"/>
            </w:pPr>
            <w:r>
              <w:rPr>
                <w:rFonts w:ascii="Arial" w:cs="Arial" w:eastAsia="Arial" w:hAnsi="Arial"/>
                <w:b/>
                <w:bCs/>
                <w:color w:val="FFFFFF"/>
                <w:sz w:val="36"/>
                <w:szCs w:val="36"/>
              </w:rPr>
              <w:t xml:space="preserve">MVP Feature Scope</w:t>
            </w:r>
          </w:p>
          <w:p>
            <w:pPr>
              <w:spacing w:before="0" w:after="0"/>
            </w:pPr>
            <w:r>
              <w:rPr>
                <w:rFonts w:ascii="Arial" w:cs="Arial" w:eastAsia="Arial" w:hAnsi="Arial"/>
                <w:color w:val="D6E4F0"/>
                <w:sz w:val="22"/>
                <w:szCs w:val="22"/>
              </w:rPr>
              <w:t xml:space="preserve">90-day buildable feature set, must-haves vs. post-launch, and user flows for three personas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5.1 Must-Have Features (90-Day MVP)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MVP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 Local ONNX inference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Diagnostic model running on-premise. ONNX Runtime 1.17+. Response time &lt;2 seconds for structured clinical inputs.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 FHIR R4 ingestion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HL7 FHIR R4 compliant local API on localhost:8443. Accepts Observation, Condition, MedicationStatement, DiagnosticReport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 PHI de-identification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MIST-based Safe Harbor de-identification before any ML processing. Pseudonymization with clinic-local UUID mapping.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 Differential diagnosis output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Top-5 ranked ICD-10 diagnoses with confidence scores, SHAP attributions, and NLG evidence narrative.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 Physician override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Accept / Modify / Reject / Flag interface on each AI output. Override logged and queued for local feedback 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 RBAC with 3 roles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Admin, Physician, Compliance Officer roles. Role-specific UI and data access. JWT-based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 Break-glass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Emergency access override with immediate multi-channel alert (email + in-app) and mandatory post-event audit review workflow.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 Audit log (hash-chained)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Append-only NDJSON audit log with SHA-256 Merkle-tree chain. 6-year retention. Tamper detection on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 Offline-first operation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Full inference and logging during internet outage. Gradient sync queue with automatic reconnection processing.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 FL gradient submission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DP-protected gradient serialization and upload to Flower coordinator. Node key management and coordinator authentication.</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5.2 Post-Launch Features (Phase 2+)</w:t>
      </w:r>
    </w:p>
    <w:p>
      <w:pPr>
        <w:spacing w:before="60" w:after="60"/>
      </w:pPr>
      <w:r>
        <w:t xml:space="preserve"/>
      </w:r>
    </w:p>
    <w:p>
      <w:pPr>
        <w:pStyle w:val="ListParagraph"/>
        <w:numPr>
          <w:ilvl w:val="0"/>
          <w:numId w:val="2"/>
        </w:numPr>
        <w:spacing w:before="60" w:after="60" w:line="260"/>
      </w:pPr>
      <w:r>
        <w:rPr>
          <w:color w:val="3C3C3C"/>
          <w:sz w:val="22"/>
          <w:szCs w:val="22"/>
        </w:rPr>
        <w:t xml:space="preserve">FHIR AuditEvent export bundle — Legal discovery-ready export (Phase 2, Month 4)</w:t>
      </w:r>
    </w:p>
    <w:p>
      <w:pPr>
        <w:pStyle w:val="ListParagraph"/>
        <w:numPr>
          <w:ilvl w:val="0"/>
          <w:numId w:val="2"/>
        </w:numPr>
        <w:spacing w:before="60" w:after="60" w:line="260"/>
      </w:pPr>
      <w:r>
        <w:rPr>
          <w:color w:val="3C3C3C"/>
          <w:sz w:val="22"/>
          <w:szCs w:val="22"/>
        </w:rPr>
        <w:t xml:space="preserve">Imaging metadata integration — DICOM metadata extraction for radiology-informed differentials (Phase 2, Month 5)</w:t>
      </w:r>
    </w:p>
    <w:p>
      <w:pPr>
        <w:pStyle w:val="ListParagraph"/>
        <w:numPr>
          <w:ilvl w:val="0"/>
          <w:numId w:val="2"/>
        </w:numPr>
        <w:spacing w:before="60" w:after="60" w:line="260"/>
      </w:pPr>
      <w:r>
        <w:rPr>
          <w:color w:val="3C3C3C"/>
          <w:sz w:val="22"/>
          <w:szCs w:val="22"/>
        </w:rPr>
        <w:t xml:space="preserve">Drug interaction engine — Local OpenFDA database with real-time interaction alerts (Phase 2, Month 4)</w:t>
      </w:r>
    </w:p>
    <w:p>
      <w:pPr>
        <w:pStyle w:val="ListParagraph"/>
        <w:numPr>
          <w:ilvl w:val="0"/>
          <w:numId w:val="2"/>
        </w:numPr>
        <w:spacing w:before="60" w:after="60" w:line="260"/>
      </w:pPr>
      <w:r>
        <w:rPr>
          <w:color w:val="3C3C3C"/>
          <w:sz w:val="22"/>
          <w:szCs w:val="22"/>
        </w:rPr>
        <w:t xml:space="preserve">Homomorphic encryption for FL — CKKS scheme for gradient aggregation without decryption (Phase 3)</w:t>
      </w:r>
    </w:p>
    <w:p>
      <w:pPr>
        <w:pStyle w:val="ListParagraph"/>
        <w:numPr>
          <w:ilvl w:val="0"/>
          <w:numId w:val="2"/>
        </w:numPr>
        <w:spacing w:before="60" w:after="60" w:line="260"/>
      </w:pPr>
      <w:r>
        <w:rPr>
          <w:color w:val="3C3C3C"/>
          <w:sz w:val="22"/>
          <w:szCs w:val="22"/>
        </w:rPr>
        <w:t xml:space="preserve">EHR native plugin — Epic, Cerner, athenahealth SMART on FHIR launch integration (Phase 2, Month 6)</w:t>
      </w:r>
    </w:p>
    <w:p>
      <w:pPr>
        <w:pStyle w:val="ListParagraph"/>
        <w:numPr>
          <w:ilvl w:val="0"/>
          <w:numId w:val="2"/>
        </w:numPr>
        <w:spacing w:before="60" w:after="60" w:line="260"/>
      </w:pPr>
      <w:r>
        <w:rPr>
          <w:color w:val="3C3C3C"/>
          <w:sz w:val="22"/>
          <w:szCs w:val="22"/>
        </w:rPr>
        <w:t xml:space="preserve">Federated unlearning pipeline — Patient erasure request processing for GDPR compliance (Phase 2, Month 5)</w:t>
      </w:r>
    </w:p>
    <w:p>
      <w:pPr>
        <w:pStyle w:val="ListParagraph"/>
        <w:numPr>
          <w:ilvl w:val="0"/>
          <w:numId w:val="2"/>
        </w:numPr>
        <w:spacing w:before="60" w:after="60" w:line="260"/>
      </w:pPr>
      <w:r>
        <w:rPr>
          <w:color w:val="3C3C3C"/>
          <w:sz w:val="22"/>
          <w:szCs w:val="22"/>
        </w:rPr>
        <w:t xml:space="preserve">Predictive risk scoring dashboard — Longitudinal risk trending for chronic disease management (Phase 3)</w:t>
      </w:r>
    </w:p>
    <w:p>
      <w:pPr>
        <w:pStyle w:val="ListParagraph"/>
        <w:numPr>
          <w:ilvl w:val="0"/>
          <w:numId w:val="2"/>
        </w:numPr>
        <w:spacing w:before="60" w:after="60" w:line="260"/>
      </w:pPr>
      <w:r>
        <w:rPr>
          <w:color w:val="3C3C3C"/>
          <w:sz w:val="22"/>
          <w:szCs w:val="22"/>
        </w:rPr>
        <w:t xml:space="preserve">Multi-language UI — Spanish, French, Mandarin localization for diverse clinic populations (Phase 3)</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5.3 User Flows</w:t>
      </w:r>
    </w:p>
    <w:p>
      <w:pPr>
        <w:pStyle w:val="Heading3"/>
        <w:spacing w:before="200" w:after="80"/>
      </w:pPr>
      <w:r>
        <w:rPr>
          <w:rFonts w:ascii="Arial" w:cs="Arial" w:eastAsia="Arial" w:hAnsi="Arial"/>
          <w:b/>
          <w:bCs/>
          <w:color w:val="1A4E8F"/>
          <w:sz w:val="24"/>
          <w:szCs w:val="24"/>
        </w:rPr>
        <w:t xml:space="preserve">Clinic Administrator Flow</w:t>
      </w:r>
    </w:p>
    <w:p>
      <w:pPr>
        <w:pStyle w:val="ListParagraph"/>
        <w:numPr>
          <w:ilvl w:val="0"/>
          <w:numId w:val="3"/>
        </w:numPr>
        <w:spacing w:before="60" w:after="60" w:line="260"/>
      </w:pPr>
      <w:r>
        <w:rPr>
          <w:color w:val="3C3C3C"/>
          <w:sz w:val="22"/>
          <w:szCs w:val="22"/>
        </w:rPr>
        <w:t xml:space="preserve">Log in with Admin credentials (2FA required). Dashboard shows system health, last sync time, and compliance status.</w:t>
      </w:r>
    </w:p>
    <w:p>
      <w:pPr>
        <w:pStyle w:val="ListParagraph"/>
        <w:numPr>
          <w:ilvl w:val="0"/>
          <w:numId w:val="3"/>
        </w:numPr>
        <w:spacing w:before="60" w:after="60" w:line="260"/>
      </w:pPr>
      <w:r>
        <w:rPr>
          <w:color w:val="3C3C3C"/>
          <w:sz w:val="22"/>
          <w:szCs w:val="22"/>
        </w:rPr>
        <w:t xml:space="preserve">Review hardware resource utilization (CPU, GPU, RAM, disk). Alerts surface if inference latency exceeds 2-second SLA.</w:t>
      </w:r>
    </w:p>
    <w:p>
      <w:pPr>
        <w:pStyle w:val="ListParagraph"/>
        <w:numPr>
          <w:ilvl w:val="0"/>
          <w:numId w:val="3"/>
        </w:numPr>
        <w:spacing w:before="60" w:after="60" w:line="260"/>
      </w:pPr>
      <w:r>
        <w:rPr>
          <w:color w:val="3C3C3C"/>
          <w:sz w:val="22"/>
          <w:szCs w:val="22"/>
        </w:rPr>
        <w:t xml:space="preserve">Manage user accounts: create Physician and Compliance Officer accounts, assign roles, enforce password rotation.</w:t>
      </w:r>
    </w:p>
    <w:p>
      <w:pPr>
        <w:pStyle w:val="ListParagraph"/>
        <w:numPr>
          <w:ilvl w:val="0"/>
          <w:numId w:val="3"/>
        </w:numPr>
        <w:spacing w:before="60" w:after="60" w:line="260"/>
      </w:pPr>
      <w:r>
        <w:rPr>
          <w:color w:val="3C3C3C"/>
          <w:sz w:val="22"/>
          <w:szCs w:val="22"/>
        </w:rPr>
        <w:t xml:space="preserve">Configure FL participation: review gradient submission schedule, node reputation score, and opt-out controls.</w:t>
      </w:r>
    </w:p>
    <w:p>
      <w:pPr>
        <w:pStyle w:val="ListParagraph"/>
        <w:numPr>
          <w:ilvl w:val="0"/>
          <w:numId w:val="3"/>
        </w:numPr>
        <w:spacing w:before="60" w:after="60" w:line="260"/>
      </w:pPr>
      <w:r>
        <w:rPr>
          <w:color w:val="3C3C3C"/>
          <w:sz w:val="22"/>
          <w:szCs w:val="22"/>
        </w:rPr>
        <w:t xml:space="preserve">Review audit log digest: summary of access events, break-glass activations, and anomaly flags for the past 30 days.</w:t>
      </w:r>
    </w:p>
    <w:p>
      <w:pPr>
        <w:pStyle w:val="ListParagraph"/>
        <w:numPr>
          <w:ilvl w:val="0"/>
          <w:numId w:val="3"/>
        </w:numPr>
        <w:spacing w:before="60" w:after="60" w:line="260"/>
      </w:pPr>
      <w:r>
        <w:rPr>
          <w:color w:val="3C3C3C"/>
          <w:sz w:val="22"/>
          <w:szCs w:val="22"/>
        </w:rPr>
        <w:t xml:space="preserve">Initiate system updates: download and verify new model weights (SHA-256 verification), schedule off-hours deployment.</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Physician Flow</w:t>
      </w:r>
    </w:p>
    <w:p>
      <w:pPr>
        <w:pStyle w:val="ListParagraph"/>
        <w:numPr>
          <w:ilvl w:val="0"/>
          <w:numId w:val="3"/>
        </w:numPr>
        <w:spacing w:before="60" w:after="60" w:line="260"/>
      </w:pPr>
      <w:r>
        <w:rPr>
          <w:color w:val="3C3C3C"/>
          <w:sz w:val="22"/>
          <w:szCs w:val="22"/>
        </w:rPr>
        <w:t xml:space="preserve">Log in with Physician credentials. Select patient from today's appointment schedule (populated from local EHR).</w:t>
      </w:r>
    </w:p>
    <w:p>
      <w:pPr>
        <w:pStyle w:val="ListParagraph"/>
        <w:numPr>
          <w:ilvl w:val="0"/>
          <w:numId w:val="3"/>
        </w:numPr>
        <w:spacing w:before="60" w:after="60" w:line="260"/>
      </w:pPr>
      <w:r>
        <w:rPr>
          <w:color w:val="3C3C3C"/>
          <w:sz w:val="22"/>
          <w:szCs w:val="22"/>
        </w:rPr>
        <w:t xml:space="preserve">Review AI-pre-populated clinical summary: labs, vitals, medications, and prior diagnoses loaded automatically.</w:t>
      </w:r>
    </w:p>
    <w:p>
      <w:pPr>
        <w:pStyle w:val="ListParagraph"/>
        <w:numPr>
          <w:ilvl w:val="0"/>
          <w:numId w:val="3"/>
        </w:numPr>
        <w:spacing w:before="60" w:after="60" w:line="260"/>
      </w:pPr>
      <w:r>
        <w:rPr>
          <w:color w:val="3C3C3C"/>
          <w:sz w:val="22"/>
          <w:szCs w:val="22"/>
        </w:rPr>
        <w:t xml:space="preserve">Click 'Run Diagnostic Analysis.' AI returns differential diagnosis list in &lt;2 seconds with confidence scores and SHAP chart.</w:t>
      </w:r>
    </w:p>
    <w:p>
      <w:pPr>
        <w:pStyle w:val="ListParagraph"/>
        <w:numPr>
          <w:ilvl w:val="0"/>
          <w:numId w:val="3"/>
        </w:numPr>
        <w:spacing w:before="60" w:after="60" w:line="260"/>
      </w:pPr>
      <w:r>
        <w:rPr>
          <w:color w:val="3C3C3C"/>
          <w:sz w:val="22"/>
          <w:szCs w:val="22"/>
        </w:rPr>
        <w:t xml:space="preserve">Review evidence narrative for the top diagnosis. Expand SHAP chart to see which labs/vitals drove the prediction.</w:t>
      </w:r>
    </w:p>
    <w:p>
      <w:pPr>
        <w:pStyle w:val="ListParagraph"/>
        <w:numPr>
          <w:ilvl w:val="0"/>
          <w:numId w:val="3"/>
        </w:numPr>
        <w:spacing w:before="60" w:after="60" w:line="260"/>
      </w:pPr>
      <w:r>
        <w:rPr>
          <w:color w:val="3C3C3C"/>
          <w:sz w:val="22"/>
          <w:szCs w:val="22"/>
        </w:rPr>
        <w:t xml:space="preserve">Accept, Modify, or Reject the AI suggestion. If modifying, search for or type an ICD-10 code.</w:t>
      </w:r>
    </w:p>
    <w:p>
      <w:pPr>
        <w:pStyle w:val="ListParagraph"/>
        <w:numPr>
          <w:ilvl w:val="0"/>
          <w:numId w:val="3"/>
        </w:numPr>
        <w:spacing w:before="60" w:after="60" w:line="260"/>
      </w:pPr>
      <w:r>
        <w:rPr>
          <w:color w:val="3C3C3C"/>
          <w:sz w:val="22"/>
          <w:szCs w:val="22"/>
        </w:rPr>
        <w:t xml:space="preserve">Add clinical notes. AI suggestion and physician decision are both documented in the encounter record. Physician decision is the official clinical record.</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Compliance Officer Flow</w:t>
      </w:r>
    </w:p>
    <w:p>
      <w:pPr>
        <w:pStyle w:val="ListParagraph"/>
        <w:numPr>
          <w:ilvl w:val="0"/>
          <w:numId w:val="3"/>
        </w:numPr>
        <w:spacing w:before="60" w:after="60" w:line="260"/>
      </w:pPr>
      <w:r>
        <w:rPr>
          <w:color w:val="3C3C3C"/>
          <w:sz w:val="22"/>
          <w:szCs w:val="22"/>
        </w:rPr>
        <w:t xml:space="preserve">Log in with Compliance Officer credentials. Dashboard shows compliance posture: BAA status, audit log integrity, consent completion rate.</w:t>
      </w:r>
    </w:p>
    <w:p>
      <w:pPr>
        <w:pStyle w:val="ListParagraph"/>
        <w:numPr>
          <w:ilvl w:val="0"/>
          <w:numId w:val="3"/>
        </w:numPr>
        <w:spacing w:before="60" w:after="60" w:line="260"/>
      </w:pPr>
      <w:r>
        <w:rPr>
          <w:color w:val="3C3C3C"/>
          <w:sz w:val="22"/>
          <w:szCs w:val="22"/>
        </w:rPr>
        <w:t xml:space="preserve">Run audit report for a date range. View all access events, inference requests, and PHI access incidents.</w:t>
      </w:r>
    </w:p>
    <w:p>
      <w:pPr>
        <w:pStyle w:val="ListParagraph"/>
        <w:numPr>
          <w:ilvl w:val="0"/>
          <w:numId w:val="3"/>
        </w:numPr>
        <w:spacing w:before="60" w:after="60" w:line="260"/>
      </w:pPr>
      <w:r>
        <w:rPr>
          <w:color w:val="3C3C3C"/>
          <w:sz w:val="22"/>
          <w:szCs w:val="22"/>
        </w:rPr>
        <w:t xml:space="preserve">Export audit bundle as FHIR AuditEvent JSON for legal discovery or OCR response. Bundle is digitally signed with clinic certificate.</w:t>
      </w:r>
    </w:p>
    <w:p>
      <w:pPr>
        <w:pStyle w:val="ListParagraph"/>
        <w:numPr>
          <w:ilvl w:val="0"/>
          <w:numId w:val="3"/>
        </w:numPr>
        <w:spacing w:before="60" w:after="60" w:line="260"/>
      </w:pPr>
      <w:r>
        <w:rPr>
          <w:color w:val="3C3C3C"/>
          <w:sz w:val="22"/>
          <w:szCs w:val="22"/>
        </w:rPr>
        <w:t xml:space="preserve">Review break-glass events: who accessed, what data, what time, and whether the post-event review was completed.</w:t>
      </w:r>
    </w:p>
    <w:p>
      <w:pPr>
        <w:pStyle w:val="ListParagraph"/>
        <w:numPr>
          <w:ilvl w:val="0"/>
          <w:numId w:val="3"/>
        </w:numPr>
        <w:spacing w:before="60" w:after="60" w:line="260"/>
      </w:pPr>
      <w:r>
        <w:rPr>
          <w:color w:val="3C3C3C"/>
          <w:sz w:val="22"/>
          <w:szCs w:val="22"/>
        </w:rPr>
        <w:t xml:space="preserve">Generate annual HIPAA compliance summary report for the clinic's Privacy Officer.</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06</w:t>
            </w:r>
          </w:p>
          <w:p>
            <w:pPr>
              <w:spacing w:before="0" w:after="60"/>
            </w:pPr>
            <w:r>
              <w:rPr>
                <w:rFonts w:ascii="Arial" w:cs="Arial" w:eastAsia="Arial" w:hAnsi="Arial"/>
                <w:b/>
                <w:bCs/>
                <w:color w:val="FFFFFF"/>
                <w:sz w:val="36"/>
                <w:szCs w:val="36"/>
              </w:rPr>
              <w:t xml:space="preserve">Tech Stack Recommendation</w:t>
            </w:r>
          </w:p>
          <w:p>
            <w:pPr>
              <w:spacing w:before="0" w:after="0"/>
            </w:pPr>
            <w:r>
              <w:rPr>
                <w:rFonts w:ascii="Arial" w:cs="Arial" w:eastAsia="Arial" w:hAnsi="Arial"/>
                <w:color w:val="D6E4F0"/>
                <w:sz w:val="22"/>
                <w:szCs w:val="22"/>
              </w:rPr>
              <w:t xml:space="preserve">Specific frameworks, tools, and deployment architecture with trade-off analysis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6.1 Full Tech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999999" w:sz="1"/>
              <w:left w:val="single" w:color="999999" w:sz="1"/>
              <w:bottom w:val="single" w:color="999999" w:sz="1"/>
              <w:right w:val="single" w:color="999999" w:sz="1"/>
            </w:tcBorders>
            <w:shd w:fill="0D2B55" w:val="clear"/>
            <w:tcMar>
              <w:top w:type="dxa" w:w="80"/>
              <w:left w:type="dxa" w:w="100"/>
              <w:bottom w:type="dxa" w:w="80"/>
              <w:right w:type="dxa" w:w="100"/>
            </w:tcMar>
          </w:tcPr>
          <w:p>
            <w:r>
              <w:rPr>
                <w:b/>
                <w:bCs/>
                <w:color w:val="FFFFFF"/>
                <w:sz w:val="19"/>
                <w:szCs w:val="19"/>
              </w:rPr>
              <w:t xml:space="preserve">Layer</w:t>
            </w:r>
          </w:p>
        </w:tc>
        <w:tc>
          <w:tcPr>
            <w:tcW w:type="dxa" w:w="2800"/>
            <w:tcBorders>
              <w:top w:val="single" w:color="999999" w:sz="1"/>
              <w:left w:val="single" w:color="999999" w:sz="1"/>
              <w:bottom w:val="single" w:color="999999" w:sz="1"/>
              <w:right w:val="single" w:color="999999" w:sz="1"/>
            </w:tcBorders>
            <w:shd w:fill="0D2B55" w:val="clear"/>
            <w:tcMar>
              <w:top w:type="dxa" w:w="80"/>
              <w:left w:type="dxa" w:w="100"/>
              <w:bottom w:type="dxa" w:w="80"/>
              <w:right w:type="dxa" w:w="100"/>
            </w:tcMar>
          </w:tcPr>
          <w:p>
            <w:r>
              <w:rPr>
                <w:b/>
                <w:bCs/>
                <w:color w:val="FFFFFF"/>
                <w:sz w:val="19"/>
                <w:szCs w:val="19"/>
              </w:rPr>
              <w:t xml:space="preserve">Recommended Tool</w:t>
            </w:r>
          </w:p>
        </w:tc>
        <w:tc>
          <w:tcPr>
            <w:tcW w:type="dxa" w:w="2200"/>
            <w:tcBorders>
              <w:top w:val="single" w:color="999999" w:sz="1"/>
              <w:left w:val="single" w:color="999999" w:sz="1"/>
              <w:bottom w:val="single" w:color="999999" w:sz="1"/>
              <w:right w:val="single" w:color="999999" w:sz="1"/>
            </w:tcBorders>
            <w:shd w:fill="0D2B55" w:val="clear"/>
            <w:tcMar>
              <w:top w:type="dxa" w:w="80"/>
              <w:left w:type="dxa" w:w="100"/>
              <w:bottom w:type="dxa" w:w="80"/>
              <w:right w:type="dxa" w:w="100"/>
            </w:tcMar>
          </w:tcPr>
          <w:p>
            <w:r>
              <w:rPr>
                <w:b/>
                <w:bCs/>
                <w:color w:val="FFFFFF"/>
                <w:sz w:val="19"/>
                <w:szCs w:val="19"/>
              </w:rPr>
              <w:t xml:space="preserve">Alternative</w:t>
            </w:r>
          </w:p>
        </w:tc>
        <w:tc>
          <w:tcPr>
            <w:tcW w:type="dxa" w:w="2360"/>
            <w:tcBorders>
              <w:top w:val="single" w:color="999999" w:sz="1"/>
              <w:left w:val="single" w:color="999999" w:sz="1"/>
              <w:bottom w:val="single" w:color="999999" w:sz="1"/>
              <w:right w:val="single" w:color="999999" w:sz="1"/>
            </w:tcBorders>
            <w:shd w:fill="0D2B55" w:val="clear"/>
            <w:tcMar>
              <w:top w:type="dxa" w:w="80"/>
              <w:left w:type="dxa" w:w="100"/>
              <w:bottom w:type="dxa" w:w="80"/>
              <w:right w:type="dxa" w:w="100"/>
            </w:tcMar>
          </w:tcPr>
          <w:p>
            <w:r>
              <w:rPr>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ML Runtime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ONNX Runtime 1.17+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TensorFlow Lite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Broader model support, single binary, GPU-capable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FL Framework</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Flower (flwr) 1.6+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PySyft / OpenFL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Lightweight, clinic-deployable, production-tested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Privacy Library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OpenDP 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Google DP Library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Formally verified DP guarantees, Python native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Local Database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PostgreSQL 16 + pgcrypto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SQLCipher (SQLite)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PG: multi-user; SQLite: edge/single workstation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Ingestion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FastAPI 0.104+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Django REST Framework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Performance, async support, auto OpenAPI docs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Frontend — Web</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React 18 + TypeScript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Vue 3</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Ecosystem maturity, physician UI components available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Frontend — Desktop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Electron 28 + React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Tauri (Rust)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Electron: larger team familiarity; Tauri: smaller binary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Auth / RBAC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Keycloak 23+</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Auth0 (cloud, BAA req'd)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Self-hosted, HIPAA-configurable, SAML/OIDC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XAI 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SHAP 0.43+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LIME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SHAP: theoretically grounded, model-agnostic</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NLG Narrative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Jinja2 template engine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GPT-4 API (PHI risk)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Template NLG: deterministic, auditable, PHI-safe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Audit Logging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Custom NDJSON + SHA-256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OpenTelemetry + OTEL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Custom: full Merkle chain control; OTEL: Phase 2 option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Container Runtime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Docker 24 + Compose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Podman</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Broad IT familiarity; Podman: rootless (security bonus)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color w:val="0D2B55"/>
                <w:sz w:val="19"/>
                <w:szCs w:val="19"/>
              </w:rPr>
              <w:t xml:space="preserve">OS / Platform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Ubuntu 22.04 LTS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RHEL 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3C3C3C"/>
                <w:sz w:val="19"/>
                <w:szCs w:val="19"/>
              </w:rPr>
              <w:t xml:space="preserve">Ubuntu: driver support; RHEL: enterprise preference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color w:val="0D2B55"/>
                <w:sz w:val="19"/>
                <w:szCs w:val="19"/>
              </w:rPr>
              <w:t xml:space="preserve">Hardware (primary)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NVIDIA Jetson AGX Orin 32GB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Intel NUC + RTX 3060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val="false"/>
                <w:bCs w:val="false"/>
                <w:color w:val="3C3C3C"/>
                <w:sz w:val="19"/>
                <w:szCs w:val="19"/>
              </w:rPr>
              <w:t xml:space="preserve">Jetson: power-efficient, purpose-built for edge AI</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6.2 Deployment Architecture</w:t>
      </w:r>
    </w:p>
    <w:p>
      <w:pPr>
        <w:pStyle w:val="Heading3"/>
        <w:spacing w:before="200" w:after="80"/>
      </w:pPr>
      <w:r>
        <w:rPr>
          <w:rFonts w:ascii="Arial" w:cs="Arial" w:eastAsia="Arial" w:hAnsi="Arial"/>
          <w:b/>
          <w:bCs/>
          <w:color w:val="1A4E8F"/>
          <w:sz w:val="24"/>
          <w:szCs w:val="24"/>
        </w:rPr>
        <w:t xml:space="preserve">Option A: Docker Compose (Recommended for MVP)</w:t>
      </w:r>
    </w:p>
    <w:p>
      <w:pPr>
        <w:spacing w:before="80" w:after="100" w:line="280"/>
      </w:pPr>
      <w:r>
        <w:rPr>
          <w:color w:val="3C3C3C"/>
          <w:sz w:val="22"/>
          <w:szCs w:val="22"/>
        </w:rPr>
        <w:t xml:space="preserve">All SecureDx AI services are containerized and orchestrated with Docker Compose. A clinic IT generalist can deploy the full stack with three commands after hardware provisioning. This is the recommended path for the MVP given its simplicity and reproducibility.</w:t>
      </w:r>
    </w:p>
    <w:p>
      <w:pPr>
        <w:spacing w:before="60" w:after="60"/>
      </w:pPr>
      <w:r>
        <w:t xml:space="preserve"/>
      </w:r>
    </w:p>
    <w:p>
      <w:pPr>
        <w:pStyle w:val="ListParagraph"/>
        <w:numPr>
          <w:ilvl w:val="0"/>
          <w:numId w:val="2"/>
        </w:numPr>
        <w:spacing w:before="60" w:after="60" w:line="260"/>
      </w:pPr>
      <w:r>
        <w:rPr>
          <w:color w:val="3C3C3C"/>
          <w:sz w:val="22"/>
          <w:szCs w:val="22"/>
        </w:rPr>
        <w:t xml:space="preserve">docker compose up installs all services: inference engine, FHIR API, PostgreSQL, Keycloak, React UI, FL client</w:t>
      </w:r>
    </w:p>
    <w:p>
      <w:pPr>
        <w:pStyle w:val="ListParagraph"/>
        <w:numPr>
          <w:ilvl w:val="0"/>
          <w:numId w:val="2"/>
        </w:numPr>
        <w:spacing w:before="60" w:after="60" w:line="260"/>
      </w:pPr>
      <w:r>
        <w:rPr>
          <w:color w:val="3C3C3C"/>
          <w:sz w:val="22"/>
          <w:szCs w:val="22"/>
        </w:rPr>
        <w:t xml:space="preserve">Automated health checks with auto-restart on failure</w:t>
      </w:r>
    </w:p>
    <w:p>
      <w:pPr>
        <w:pStyle w:val="ListParagraph"/>
        <w:numPr>
          <w:ilvl w:val="0"/>
          <w:numId w:val="2"/>
        </w:numPr>
        <w:spacing w:before="60" w:after="60" w:line="260"/>
      </w:pPr>
      <w:r>
        <w:rPr>
          <w:color w:val="3C3C3C"/>
          <w:sz w:val="22"/>
          <w:szCs w:val="22"/>
        </w:rPr>
        <w:t xml:space="preserve">Volume mounts for persistent data with AES-256 encrypted host volumes (LUKS on Linux)</w:t>
      </w:r>
    </w:p>
    <w:p>
      <w:pPr>
        <w:pStyle w:val="ListParagraph"/>
        <w:numPr>
          <w:ilvl w:val="0"/>
          <w:numId w:val="2"/>
        </w:numPr>
        <w:spacing w:before="60" w:after="60" w:line="260"/>
      </w:pPr>
      <w:r>
        <w:rPr>
          <w:color w:val="3C3C3C"/>
          <w:sz w:val="22"/>
          <w:szCs w:val="22"/>
        </w:rPr>
        <w:t xml:space="preserve">Single-command update path for model weight updates and security patches</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Option B: Bare Metal (Performance-Critical Clinics)</w:t>
      </w:r>
    </w:p>
    <w:p>
      <w:pPr>
        <w:spacing w:before="80" w:after="100" w:line="280"/>
      </w:pPr>
      <w:r>
        <w:rPr>
          <w:color w:val="3C3C3C"/>
          <w:sz w:val="22"/>
          <w:szCs w:val="22"/>
        </w:rPr>
        <w:t xml:space="preserve">For clinics with high patient volume (&gt;80 consultations/day) or imaging-heavy workflows, bare metal deployment eliminates container overhead and maximizes GPU utilization. Requires more IT expertise to maintain.</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Option C: Edge Device (Very Small Clinics)</w:t>
      </w:r>
    </w:p>
    <w:p>
      <w:pPr>
        <w:spacing w:before="80" w:after="100" w:line="280"/>
      </w:pPr>
      <w:r>
        <w:rPr>
          <w:color w:val="3C3C3C"/>
          <w:sz w:val="22"/>
          <w:szCs w:val="22"/>
        </w:rPr>
        <w:t xml:space="preserve">For clinics with 1–3 physicians and minimal IT resources, a pre-configured NVIDIA Jetson AGX Orin appliance can be shipped as a plug-and-play device. The operating system, all services, and the initial model weights are pre-installed. Setup time: &lt;30 minutes.</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6.3 Hardware Bill of Materials (Under $3,000/Node)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Est. Cost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NVIDIA Jetson AGX Orin 32GB Developer Kit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$1,999</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512GB NVMe SSD (encrypted)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$89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32GB DDR5 RAM (if not included)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$120</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UPS (CyberPower 1000VA)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$129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Network switch (managed, for VLAN isolation)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$149</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Rack enclosure / mini-tower case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$89</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Cables, accessories, thermal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$60</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TOTAL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$2,635 (within $3,000 budget)</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07</w:t>
            </w:r>
          </w:p>
          <w:p>
            <w:pPr>
              <w:spacing w:before="0" w:after="60"/>
            </w:pPr>
            <w:r>
              <w:rPr>
                <w:rFonts w:ascii="Arial" w:cs="Arial" w:eastAsia="Arial" w:hAnsi="Arial"/>
                <w:b/>
                <w:bCs/>
                <w:color w:val="FFFFFF"/>
                <w:sz w:val="36"/>
                <w:szCs w:val="36"/>
              </w:rPr>
              <w:t xml:space="preserve">Go-To-Market &amp; Pricing Strategy</w:t>
            </w:r>
          </w:p>
          <w:p>
            <w:pPr>
              <w:spacing w:before="0" w:after="0"/>
            </w:pPr>
            <w:r>
              <w:rPr>
                <w:rFonts w:ascii="Arial" w:cs="Arial" w:eastAsia="Arial" w:hAnsi="Arial"/>
                <w:color w:val="D6E4F0"/>
                <w:sz w:val="22"/>
                <w:szCs w:val="22"/>
              </w:rPr>
              <w:t xml:space="preserve">Ideal buyer profile, sales motion, pricing model, and trust-building strategy for skeptical clinics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7.1 Ideal Clinic Buyer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Clinic Size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10–200 staff, 2–20 physicians. Large enough to have IT budget, small enough to lack enterprise AI infrastructure.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Specialty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Primary Care, Internal Medicine, Family Practice, Urgent Care. These have the broadest differential diagnosis surface area and highest volume of ambiguous presentations.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EHR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Using Epic, Cerner, athenahealth, or eClinicalWorks — all with FHIR R4 API support for data ingestion.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Geography (Phase 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US-only (HIPAA jurisdiction simplicity). EU expansion (GDPR) in Phase 2 with legal counsel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Pain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Physician burnout from diagnostic workload, high referral costs, malpractice liability from missed diagnoses, and inability to afford enterprise CDSs tools.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Budget Profile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$300–$800/month per clinic is within the operational budget of most SME clinics. Hardware is a one-time capital expense.</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7.2 Sales Motion</w:t>
      </w:r>
    </w:p>
    <w:p>
      <w:pPr>
        <w:pStyle w:val="Heading3"/>
        <w:spacing w:before="200" w:after="80"/>
      </w:pPr>
      <w:r>
        <w:rPr>
          <w:rFonts w:ascii="Arial" w:cs="Arial" w:eastAsia="Arial" w:hAnsi="Arial"/>
          <w:b/>
          <w:bCs/>
          <w:color w:val="1A4E8F"/>
          <w:sz w:val="24"/>
          <w:szCs w:val="24"/>
        </w:rPr>
        <w:t xml:space="preserve">Primary: EHR Integration Partner Channel</w:t>
      </w:r>
    </w:p>
    <w:p>
      <w:pPr>
        <w:spacing w:before="80" w:after="100" w:line="280"/>
      </w:pPr>
      <w:r>
        <w:rPr>
          <w:color w:val="3C3C3C"/>
          <w:sz w:val="22"/>
          <w:szCs w:val="22"/>
        </w:rPr>
        <w:t xml:space="preserve">The highest-leverage go-to-market motion is a partnership with EHR vendors targeting their SME clinic base. EHR vendors have existing trust relationships, contractual access, and implementation pathways. A SecureDx AI SMART on FHIR app listed in the Epic App Orchard or Cerner App Market instantly reaches thousands of qualified clinics.</w:t>
      </w:r>
    </w:p>
    <w:p>
      <w:pPr>
        <w:spacing w:before="60" w:after="60"/>
      </w:pPr>
      <w:r>
        <w:t xml:space="preserve"/>
      </w:r>
    </w:p>
    <w:p>
      <w:pPr>
        <w:pStyle w:val="ListParagraph"/>
        <w:numPr>
          <w:ilvl w:val="0"/>
          <w:numId w:val="2"/>
        </w:numPr>
        <w:spacing w:before="60" w:after="60" w:line="260"/>
      </w:pPr>
      <w:r>
        <w:rPr>
          <w:color w:val="3C3C3C"/>
          <w:sz w:val="22"/>
          <w:szCs w:val="22"/>
        </w:rPr>
        <w:t xml:space="preserve">Approach: Partner with 2–3 regional EHR implementation consultants (not the EHR vendors directly — they are slow to partner with startups)</w:t>
      </w:r>
    </w:p>
    <w:p>
      <w:pPr>
        <w:pStyle w:val="ListParagraph"/>
        <w:numPr>
          <w:ilvl w:val="0"/>
          <w:numId w:val="2"/>
        </w:numPr>
        <w:spacing w:before="60" w:after="60" w:line="260"/>
      </w:pPr>
      <w:r>
        <w:rPr>
          <w:color w:val="3C3C3C"/>
          <w:sz w:val="22"/>
          <w:szCs w:val="22"/>
        </w:rPr>
        <w:t xml:space="preserve">Value prop to the channel: SecureDx AI increases the consultant's value-add to clinic clients without adding compliance risk for the consultant</w:t>
      </w:r>
    </w:p>
    <w:p>
      <w:pPr>
        <w:pStyle w:val="ListParagraph"/>
        <w:numPr>
          <w:ilvl w:val="0"/>
          <w:numId w:val="2"/>
        </w:numPr>
        <w:spacing w:before="60" w:after="60" w:line="260"/>
      </w:pPr>
      <w:r>
        <w:rPr>
          <w:color w:val="3C3C3C"/>
          <w:sz w:val="22"/>
          <w:szCs w:val="22"/>
        </w:rPr>
        <w:t xml:space="preserve">Revenue share: 20% of first-year SaaS revenue to channel partners</w:t>
      </w:r>
    </w:p>
    <w:p>
      <w:pPr>
        <w:spacing w:before="60" w:after="60"/>
      </w:pPr>
      <w:r>
        <w:t xml:space="preserve"/>
      </w:r>
    </w:p>
    <w:p>
      <w:pPr>
        <w:pStyle w:val="Heading3"/>
        <w:spacing w:before="200" w:after="80"/>
      </w:pPr>
      <w:r>
        <w:rPr>
          <w:rFonts w:ascii="Arial" w:cs="Arial" w:eastAsia="Arial" w:hAnsi="Arial"/>
          <w:b/>
          <w:bCs/>
          <w:color w:val="1A4E8F"/>
          <w:sz w:val="24"/>
          <w:szCs w:val="24"/>
        </w:rPr>
        <w:t xml:space="preserve">Secondary: Direct Clinical Association Network</w:t>
      </w:r>
    </w:p>
    <w:p>
      <w:pPr>
        <w:spacing w:before="80" w:after="100" w:line="280"/>
      </w:pPr>
      <w:r>
        <w:rPr>
          <w:color w:val="3C3C3C"/>
          <w:sz w:val="22"/>
          <w:szCs w:val="22"/>
        </w:rPr>
        <w:t xml:space="preserve">American Academy of Family Physicians (AAFP), American College of Physicians (ACP), and regional medical societies have direct access to clinic administrators and physician-owners. Sponsored content, conference presence, and CE-accredited educational sessions build brand authority.</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7.3 Pricing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999999" w:sz="1"/>
              <w:left w:val="single" w:color="999999" w:sz="1"/>
              <w:bottom w:val="single" w:color="999999" w:sz="1"/>
              <w:right w:val="single" w:color="999999" w:sz="1"/>
            </w:tcBorders>
            <w:shd w:fill="1A4E8F" w:val="clear"/>
            <w:tcMar>
              <w:top w:type="dxa" w:w="80"/>
              <w:left w:type="dxa" w:w="100"/>
              <w:bottom w:type="dxa" w:w="80"/>
              <w:right w:type="dxa" w:w="100"/>
            </w:tcMar>
          </w:tcPr>
          <w:p>
            <w:r>
              <w:rPr>
                <w:b/>
                <w:bCs/>
                <w:color w:val="FFFFFF"/>
                <w:sz w:val="20"/>
                <w:szCs w:val="20"/>
              </w:rPr>
              <w:t xml:space="preserve">Tier</w:t>
            </w:r>
          </w:p>
        </w:tc>
        <w:tc>
          <w:tcPr>
            <w:tcW w:type="dxa" w:w="2200"/>
            <w:tcBorders>
              <w:top w:val="single" w:color="999999" w:sz="1"/>
              <w:left w:val="single" w:color="999999" w:sz="1"/>
              <w:bottom w:val="single" w:color="999999" w:sz="1"/>
              <w:right w:val="single" w:color="999999" w:sz="1"/>
            </w:tcBorders>
            <w:shd w:fill="1A4E8F" w:val="clear"/>
            <w:tcMar>
              <w:top w:type="dxa" w:w="80"/>
              <w:left w:type="dxa" w:w="100"/>
              <w:bottom w:type="dxa" w:w="80"/>
              <w:right w:type="dxa" w:w="100"/>
            </w:tcMar>
          </w:tcPr>
          <w:p>
            <w:r>
              <w:rPr>
                <w:b/>
                <w:bCs/>
                <w:color w:val="FFFFFF"/>
                <w:sz w:val="20"/>
                <w:szCs w:val="20"/>
              </w:rPr>
              <w:t xml:space="preserve">Monthly Price</w:t>
            </w:r>
          </w:p>
        </w:tc>
        <w:tc>
          <w:tcPr>
            <w:tcW w:type="dxa" w:w="2800"/>
            <w:tcBorders>
              <w:top w:val="single" w:color="999999" w:sz="1"/>
              <w:left w:val="single" w:color="999999" w:sz="1"/>
              <w:bottom w:val="single" w:color="999999" w:sz="1"/>
              <w:right w:val="single" w:color="999999" w:sz="1"/>
            </w:tcBorders>
            <w:shd w:fill="1A4E8F" w:val="clear"/>
            <w:tcMar>
              <w:top w:type="dxa" w:w="80"/>
              <w:left w:type="dxa" w:w="100"/>
              <w:bottom w:type="dxa" w:w="80"/>
              <w:right w:type="dxa" w:w="100"/>
            </w:tcMar>
          </w:tcPr>
          <w:p>
            <w:r>
              <w:rPr>
                <w:b/>
                <w:bCs/>
                <w:color w:val="FFFFFF"/>
                <w:sz w:val="20"/>
                <w:szCs w:val="20"/>
              </w:rPr>
              <w:t xml:space="preserve">Included Features</w:t>
            </w:r>
          </w:p>
        </w:tc>
        <w:tc>
          <w:tcPr>
            <w:tcW w:type="dxa" w:w="2560"/>
            <w:tcBorders>
              <w:top w:val="single" w:color="999999" w:sz="1"/>
              <w:left w:val="single" w:color="999999" w:sz="1"/>
              <w:bottom w:val="single" w:color="999999" w:sz="1"/>
              <w:right w:val="single" w:color="999999" w:sz="1"/>
            </w:tcBorders>
            <w:shd w:fill="1A4E8F" w:val="clear"/>
            <w:tcMar>
              <w:top w:type="dxa" w:w="80"/>
              <w:left w:type="dxa" w:w="100"/>
              <w:bottom w:type="dxa" w:w="80"/>
              <w:right w:type="dxa" w:w="100"/>
            </w:tcMar>
          </w:tcPr>
          <w:p>
            <w:r>
              <w:rPr>
                <w:b/>
                <w:bCs/>
                <w:color w:val="FFFFFF"/>
                <w:sz w:val="20"/>
                <w:szCs w:val="20"/>
              </w:rPr>
              <w:t xml:space="preserve">Target Clinic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D2B55"/>
                <w:sz w:val="20"/>
                <w:szCs w:val="20"/>
              </w:rPr>
              <w:t xml:space="preserve">Starter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C3C3C"/>
                <w:sz w:val="20"/>
                <w:szCs w:val="20"/>
              </w:rPr>
              <w:t xml:space="preserve">$299/clinic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C3C3C"/>
                <w:sz w:val="20"/>
                <w:szCs w:val="20"/>
              </w:rPr>
              <w:t xml:space="preserve">Local inference, 1 physician seat, basic audit log, email support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C3C3C"/>
                <w:sz w:val="20"/>
                <w:szCs w:val="20"/>
              </w:rPr>
              <w:t xml:space="preserve">Solo/duo physician practices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bCs/>
                <w:color w:val="0D2B55"/>
                <w:sz w:val="20"/>
                <w:szCs w:val="20"/>
              </w:rPr>
              <w:t xml:space="preserve">Professional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val="false"/>
                <w:bCs w:val="false"/>
                <w:color w:val="3C3C3C"/>
                <w:sz w:val="20"/>
                <w:szCs w:val="20"/>
              </w:rPr>
              <w:t xml:space="preserve">$599/clinic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val="false"/>
                <w:bCs w:val="false"/>
                <w:color w:val="3C3C3C"/>
                <w:sz w:val="20"/>
                <w:szCs w:val="20"/>
              </w:rPr>
              <w:t xml:space="preserve">Starter + FL participation, 5 physician seats, FHIR audit export, phone support, compliance dashboard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val="false"/>
                <w:bCs w:val="false"/>
                <w:color w:val="3C3C3C"/>
                <w:sz w:val="20"/>
                <w:szCs w:val="20"/>
              </w:rPr>
              <w:t xml:space="preserve">5–20 physician clinics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color w:val="0D2B55"/>
                <w:sz w:val="20"/>
                <w:szCs w:val="20"/>
              </w:rPr>
              <w:t xml:space="preserve">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C3C3C"/>
                <w:sz w:val="20"/>
                <w:szCs w:val="20"/>
              </w:rPr>
              <w:t xml:space="preserve">$1,200/clinic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C3C3C"/>
                <w:sz w:val="20"/>
                <w:szCs w:val="20"/>
              </w:rPr>
              <w:t xml:space="preserve">Professional + EHR native integration, unlimited seats, custom model fine-tuning, dedicated CSM, SLA 99.9%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C3C3C"/>
                <w:sz w:val="20"/>
                <w:szCs w:val="20"/>
              </w:rPr>
              <w:t xml:space="preserve">20+ physician multi-site clinics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bCs/>
                <w:color w:val="0D2B55"/>
                <w:sz w:val="20"/>
                <w:szCs w:val="20"/>
              </w:rPr>
              <w:t xml:space="preserve">Hardware Bundle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val="false"/>
                <w:bCs w:val="false"/>
                <w:color w:val="3C3C3C"/>
                <w:sz w:val="20"/>
                <w:szCs w:val="20"/>
              </w:rPr>
              <w:t xml:space="preserve">+$2,635 one-time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val="false"/>
                <w:bCs w:val="false"/>
                <w:color w:val="3C3C3C"/>
                <w:sz w:val="20"/>
                <w:szCs w:val="20"/>
              </w:rPr>
              <w:t xml:space="preserve">Pre-configured Jetson AGX Orin node, shipped and provisioned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b w:val="false"/>
                <w:bCs w:val="false"/>
                <w:color w:val="3C3C3C"/>
                <w:sz w:val="20"/>
                <w:szCs w:val="20"/>
              </w:rPr>
              <w:t xml:space="preserve">All tiers (optional)</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7.4 Trust-Building Strategy</w:t>
      </w:r>
    </w:p>
    <w:p>
      <w:pPr>
        <w:spacing w:before="80" w:after="100" w:line="280"/>
      </w:pPr>
      <w:r>
        <w:rPr>
          <w:color w:val="3C3C3C"/>
          <w:sz w:val="22"/>
          <w:szCs w:val="22"/>
        </w:rPr>
        <w:t xml:space="preserve">Clinics will be deeply skeptical of any AI system claiming to handle patient data. Trust must be earned through radical transparency, third-party validation, and a risk-free pilot structure. The following framework addresses this directly.</w:t>
      </w:r>
    </w:p>
    <w:p>
      <w:pPr>
        <w:spacing w:before="60" w:after="60"/>
      </w:pPr>
      <w:r>
        <w:t xml:space="preserve"/>
      </w:r>
    </w:p>
    <w:p>
      <w:pPr>
        <w:pStyle w:val="ListParagraph"/>
        <w:numPr>
          <w:ilvl w:val="0"/>
          <w:numId w:val="2"/>
        </w:numPr>
        <w:spacing w:before="60" w:after="60" w:line="260"/>
      </w:pPr>
      <w:r>
        <w:rPr>
          <w:color w:val="3C3C3C"/>
          <w:sz w:val="22"/>
          <w:szCs w:val="22"/>
        </w:rPr>
        <w:t xml:space="preserve">Third-Party Compliance Audit — Engage a HIPAA-specialized auditing firm (e.g., Coalfire, Schellman) to produce a public attestation report before commercial launch. This is the single highest-ROI trust investment.</w:t>
      </w:r>
    </w:p>
    <w:p>
      <w:pPr>
        <w:pStyle w:val="ListParagraph"/>
        <w:numPr>
          <w:ilvl w:val="0"/>
          <w:numId w:val="2"/>
        </w:numPr>
        <w:spacing w:before="60" w:after="60" w:line="260"/>
      </w:pPr>
      <w:r>
        <w:rPr>
          <w:color w:val="3C3C3C"/>
          <w:sz w:val="22"/>
          <w:szCs w:val="22"/>
        </w:rPr>
        <w:t xml:space="preserve">Open-Source Core Security Layer — Publish the encryption, de-identification, and audit logging components on GitHub under an open-source license. This allows security researchers and clinic IT staff to verify the privacy architecture independently.</w:t>
      </w:r>
    </w:p>
    <w:p>
      <w:pPr>
        <w:pStyle w:val="ListParagraph"/>
        <w:numPr>
          <w:ilvl w:val="0"/>
          <w:numId w:val="2"/>
        </w:numPr>
        <w:spacing w:before="60" w:after="60" w:line="260"/>
      </w:pPr>
      <w:r>
        <w:rPr>
          <w:color w:val="3C3C3C"/>
          <w:sz w:val="22"/>
          <w:szCs w:val="22"/>
        </w:rPr>
        <w:t xml:space="preserve">90-Day Risk-Free Pilot — Offer the first 10 clinic partners a fully functional 90-day pilot at no cost. Hardware is loaned, not sold. Cancel any time with data deletion guarantee.</w:t>
      </w:r>
    </w:p>
    <w:p>
      <w:pPr>
        <w:pStyle w:val="ListParagraph"/>
        <w:numPr>
          <w:ilvl w:val="0"/>
          <w:numId w:val="2"/>
        </w:numPr>
        <w:spacing w:before="60" w:after="60" w:line="260"/>
      </w:pPr>
      <w:r>
        <w:rPr>
          <w:color w:val="3C3C3C"/>
          <w:sz w:val="22"/>
          <w:szCs w:val="22"/>
        </w:rPr>
        <w:t xml:space="preserve">Live Network Transparency Dashboard — A public status page showing FL coordinator activity: number of nodes, round completion, no PHI indicators. Builds confidence through observable behavior.</w:t>
      </w:r>
    </w:p>
    <w:p>
      <w:pPr>
        <w:pStyle w:val="ListParagraph"/>
        <w:numPr>
          <w:ilvl w:val="0"/>
          <w:numId w:val="2"/>
        </w:numPr>
        <w:spacing w:before="60" w:after="60" w:line="260"/>
      </w:pPr>
      <w:r>
        <w:rPr>
          <w:color w:val="3C3C3C"/>
          <w:sz w:val="22"/>
          <w:szCs w:val="22"/>
        </w:rPr>
        <w:t xml:space="preserve">Physician Advisory Board — Recruit 5–8 practicing physicians as paid advisors who publicly endorse the system and provide feedback. Physician endorsement is the most credible signal for clinic adoption.</w:t>
      </w:r>
    </w:p>
    <w:p>
      <w:pPr>
        <w:pStyle w:val="ListParagraph"/>
        <w:numPr>
          <w:ilvl w:val="0"/>
          <w:numId w:val="2"/>
        </w:numPr>
        <w:spacing w:before="60" w:after="60" w:line="260"/>
      </w:pPr>
      <w:r>
        <w:rPr>
          <w:color w:val="3C3C3C"/>
          <w:sz w:val="22"/>
          <w:szCs w:val="22"/>
        </w:rPr>
        <w:t xml:space="preserve">Malpractice Insurance Partnership — Partner with a medical malpractice insurer to offer a premium discount for clinics using SecureDx AI with the override documentation feature. Converts a cost center into a financial incentive.</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08</w:t>
            </w:r>
          </w:p>
          <w:p>
            <w:pPr>
              <w:spacing w:before="0" w:after="60"/>
            </w:pPr>
            <w:r>
              <w:rPr>
                <w:rFonts w:ascii="Arial" w:cs="Arial" w:eastAsia="Arial" w:hAnsi="Arial"/>
                <w:b/>
                <w:bCs/>
                <w:color w:val="FFFFFF"/>
                <w:sz w:val="36"/>
                <w:szCs w:val="36"/>
              </w:rPr>
              <w:t xml:space="preserve">Risk &amp; Failure Mode Analysis</w:t>
            </w:r>
          </w:p>
          <w:p>
            <w:pPr>
              <w:spacing w:before="0" w:after="0"/>
            </w:pPr>
            <w:r>
              <w:rPr>
                <w:rFonts w:ascii="Arial" w:cs="Arial" w:eastAsia="Arial" w:hAnsi="Arial"/>
                <w:color w:val="D6E4F0"/>
                <w:sz w:val="22"/>
                <w:szCs w:val="22"/>
              </w:rPr>
              <w:t xml:space="preserve">Technical, legal, and adoption risks with mitigation strategies and early warning indicators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8.1 Technical Risks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#1  </w:t>
            </w:r>
            <w:r>
              <w:rPr>
                <w:b/>
                <w:bCs/>
                <w:color w:val="D6E4F0"/>
                <w:sz w:val="18"/>
                <w:szCs w:val="18"/>
              </w:rPr>
              <w:t xml:space="preserve">[TECHNICAL]</w:t>
            </w:r>
            <w:r>
              <w:rPr>
                <w:b/>
                <w:bCs/>
                <w:color w:val="FDECEA"/>
                <w:sz w:val="18"/>
                <w:szCs w:val="18"/>
              </w:rPr>
              <w:t xml:space="preserve">  ● SEVERITY: HIGH</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On-Premise Hardware Failure During Clinical Hours</w:t>
            </w:r>
          </w:p>
          <w:p>
            <w:pPr>
              <w:spacing w:before="0" w:after="40"/>
            </w:pPr>
            <w:r>
              <w:rPr>
                <w:b/>
                <w:bCs/>
                <w:color w:val="A02020"/>
                <w:sz w:val="20"/>
                <w:szCs w:val="20"/>
              </w:rPr>
              <w:t xml:space="preserve">⚠ Risk: </w:t>
            </w:r>
            <w:r>
              <w:rPr>
                <w:color w:val="3C3C3C"/>
                <w:sz w:val="20"/>
                <w:szCs w:val="20"/>
              </w:rPr>
              <w:t xml:space="preserve">The inference engine node fails during peak clinical hours. If the system is not designed with graceful degradation, physicians lose access to decision support mid-consultation, creating workflow disruption and potential patient safety implications.</w:t>
            </w:r>
          </w:p>
          <w:p>
            <w:pPr>
              <w:spacing w:before="0" w:after="40"/>
            </w:pPr>
            <w:r>
              <w:rPr>
                <w:b/>
                <w:bCs/>
                <w:color w:val="1E6B2E"/>
                <w:sz w:val="20"/>
                <w:szCs w:val="20"/>
              </w:rPr>
              <w:t xml:space="preserve">✓ Mitigation: </w:t>
            </w:r>
            <w:r>
              <w:rPr>
                <w:color w:val="3C3C3C"/>
                <w:sz w:val="20"/>
                <w:szCs w:val="20"/>
              </w:rPr>
              <w:t xml:space="preserve">Implement two-node active-passive failover for Professional and Enterprise tier clinics. Starter tier includes automatic fallback to a 'safe mode' where the UI displays a clear 'AI temporarily unavailable' status and switches to manual documentation mode. Hardware monitoring with 4-hour SLA alerts to IT staff. Recommend UPS with 2-hour runtime.</w:t>
            </w:r>
          </w:p>
          <w:p>
            <w:pPr>
              <w:spacing w:before="0" w:after="0"/>
            </w:pPr>
            <w:r>
              <w:rPr>
                <w:b/>
                <w:bCs/>
                <w:color w:val="C07000"/>
                <w:sz w:val="20"/>
                <w:szCs w:val="20"/>
              </w:rPr>
              <w:t xml:space="preserve">⚡ Early Warning: </w:t>
            </w:r>
            <w:r>
              <w:rPr>
                <w:color w:val="3C3C3C"/>
                <w:sz w:val="20"/>
                <w:szCs w:val="20"/>
              </w:rPr>
              <w:t xml:space="preserve">Hardware health check failures increasing in frequency, fan speed alerts, disk SMART errors, or inference latency exceeding 3x baseline.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#2  </w:t>
            </w:r>
            <w:r>
              <w:rPr>
                <w:b/>
                <w:bCs/>
                <w:color w:val="D6E4F0"/>
                <w:sz w:val="18"/>
                <w:szCs w:val="18"/>
              </w:rPr>
              <w:t xml:space="preserve">[TECHNICAL]</w:t>
            </w:r>
            <w:r>
              <w:rPr>
                <w:b/>
                <w:bCs/>
                <w:color w:val="FFF3CD"/>
                <w:sz w:val="18"/>
                <w:szCs w:val="18"/>
              </w:rPr>
              <w:t xml:space="preserve">  ● SEVERITY: MEDIUM</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Model Performance Degradation Under Federated Conditions</w:t>
            </w:r>
          </w:p>
          <w:p>
            <w:pPr>
              <w:spacing w:before="0" w:after="40"/>
            </w:pPr>
            <w:r>
              <w:rPr>
                <w:b/>
                <w:bCs/>
                <w:color w:val="A02020"/>
                <w:sz w:val="20"/>
                <w:szCs w:val="20"/>
              </w:rPr>
              <w:t xml:space="preserve">⚠ Risk: </w:t>
            </w:r>
            <w:r>
              <w:rPr>
                <w:color w:val="3C3C3C"/>
                <w:sz w:val="20"/>
                <w:szCs w:val="20"/>
              </w:rPr>
              <w:t xml:space="preserve">Federated averaging across heterogeneous clinic populations (different demographics, patient acuity levels, specialty mixes) can produce a global model that performs worse on any individual clinic's population than a locally-trained model — known as 'client drift' or non-IID data problem.</w:t>
            </w:r>
          </w:p>
          <w:p>
            <w:pPr>
              <w:spacing w:before="0" w:after="40"/>
            </w:pPr>
            <w:r>
              <w:rPr>
                <w:b/>
                <w:bCs/>
                <w:color w:val="1E6B2E"/>
                <w:sz w:val="20"/>
                <w:szCs w:val="20"/>
              </w:rPr>
              <w:t xml:space="preserve">✓ Mitigation: </w:t>
            </w:r>
            <w:r>
              <w:rPr>
                <w:color w:val="3C3C3C"/>
                <w:sz w:val="20"/>
                <w:szCs w:val="20"/>
              </w:rPr>
              <w:t xml:space="preserve">Implement FedProx as an optional alternative to FedAvg for highly heterogeneous clinic populations. FedProx adds a proximal term that limits local model deviation. Per-clinic performance monitoring with automatic fallback to the last known good local model if performance drops &gt;10% relative to baseline. Allow each clinic to maintain a local fine-tuning layer on top of the global model.</w:t>
            </w:r>
          </w:p>
          <w:p>
            <w:pPr>
              <w:spacing w:before="0" w:after="0"/>
            </w:pPr>
            <w:r>
              <w:rPr>
                <w:b/>
                <w:bCs/>
                <w:color w:val="C07000"/>
                <w:sz w:val="20"/>
                <w:szCs w:val="20"/>
              </w:rPr>
              <w:t xml:space="preserve">⚡ Early Warning: </w:t>
            </w:r>
            <w:r>
              <w:rPr>
                <w:color w:val="3C3C3C"/>
                <w:sz w:val="20"/>
                <w:szCs w:val="20"/>
              </w:rPr>
              <w:t xml:space="preserve">Override rate at a specific clinic increasing &gt;15% over 30 days without corresponding change in patient population, or local model performance metrics diverging from global metrics by &gt;8%.</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8.2 Legal Risks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#3  </w:t>
            </w:r>
            <w:r>
              <w:rPr>
                <w:b/>
                <w:bCs/>
                <w:color w:val="D6E4F0"/>
                <w:sz w:val="18"/>
                <w:szCs w:val="18"/>
              </w:rPr>
              <w:t xml:space="preserve">[LEGAL]</w:t>
            </w:r>
            <w:r>
              <w:rPr>
                <w:b/>
                <w:bCs/>
                <w:color w:val="FDECEA"/>
                <w:sz w:val="18"/>
                <w:szCs w:val="18"/>
              </w:rPr>
              <w:t xml:space="preserve">  ● SEVERITY: HIGH</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OCR Investigation Triggered by PHI Breach at a Participating Clinic</w:t>
            </w:r>
          </w:p>
          <w:p>
            <w:pPr>
              <w:spacing w:before="0" w:after="40"/>
            </w:pPr>
            <w:r>
              <w:rPr>
                <w:b/>
                <w:bCs/>
                <w:color w:val="A02020"/>
                <w:sz w:val="20"/>
                <w:szCs w:val="20"/>
              </w:rPr>
              <w:t xml:space="preserve">⚠ Risk: </w:t>
            </w:r>
            <w:r>
              <w:rPr>
                <w:color w:val="3C3C3C"/>
                <w:sz w:val="20"/>
                <w:szCs w:val="20"/>
              </w:rPr>
              <w:t xml:space="preserve">If a clinic participating in the FL network suffers a PHI breach (unrelated to SecureDx AI — e.g., ransomware on a separate system), the OCR investigation may scrutinize all systems that touched PHI, including SecureDx AI. If audit logs are incomplete or BAAs are missing, the vendor faces direct regulatory exposure.</w:t>
            </w:r>
          </w:p>
          <w:p>
            <w:pPr>
              <w:spacing w:before="0" w:after="40"/>
            </w:pPr>
            <w:r>
              <w:rPr>
                <w:b/>
                <w:bCs/>
                <w:color w:val="1E6B2E"/>
                <w:sz w:val="20"/>
                <w:szCs w:val="20"/>
              </w:rPr>
              <w:t xml:space="preserve">✓ Mitigation: </w:t>
            </w:r>
            <w:r>
              <w:rPr>
                <w:color w:val="3C3C3C"/>
                <w:sz w:val="20"/>
                <w:szCs w:val="20"/>
              </w:rPr>
              <w:t xml:space="preserve">Maintain an always-current BAA with every clinic. Ensure audit logs are integrity-verified and exportable within 24 hours of an OCR request. Conduct a tabletop exercise annually simulating an OCR investigation. Maintain cyber liability insurance with coverage for regulatory defense costs. Designate a HIPAA Privacy Officer (can be a fractional/outsourced role at MVP stage).</w:t>
            </w:r>
          </w:p>
          <w:p>
            <w:pPr>
              <w:spacing w:before="0" w:after="0"/>
            </w:pPr>
            <w:r>
              <w:rPr>
                <w:b/>
                <w:bCs/>
                <w:color w:val="C07000"/>
                <w:sz w:val="20"/>
                <w:szCs w:val="20"/>
              </w:rPr>
              <w:t xml:space="preserve">⚡ Early Warning: </w:t>
            </w:r>
            <w:r>
              <w:rPr>
                <w:color w:val="3C3C3C"/>
                <w:sz w:val="20"/>
                <w:szCs w:val="20"/>
              </w:rPr>
              <w:t xml:space="preserve">A participating clinic reports a security incident to OCR. Monitor HHS OCR enforcement database for actions against clinic partners.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#4  </w:t>
            </w:r>
            <w:r>
              <w:rPr>
                <w:b/>
                <w:bCs/>
                <w:color w:val="D6E4F0"/>
                <w:sz w:val="18"/>
                <w:szCs w:val="18"/>
              </w:rPr>
              <w:t xml:space="preserve">[LEGAL / REGULATORY]</w:t>
            </w:r>
            <w:r>
              <w:rPr>
                <w:b/>
                <w:bCs/>
                <w:color w:val="FFF3CD"/>
                <w:sz w:val="18"/>
                <w:szCs w:val="18"/>
              </w:rPr>
              <w:t xml:space="preserve">  ● SEVERITY: MEDIUM</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FDA Reclassification of Clinical Decision Support Software</w:t>
            </w:r>
          </w:p>
          <w:p>
            <w:pPr>
              <w:spacing w:before="0" w:after="40"/>
            </w:pPr>
            <w:r>
              <w:rPr>
                <w:b/>
                <w:bCs/>
                <w:color w:val="A02020"/>
                <w:sz w:val="20"/>
                <w:szCs w:val="20"/>
              </w:rPr>
              <w:t xml:space="preserve">⚠ Risk: </w:t>
            </w:r>
            <w:r>
              <w:rPr>
                <w:color w:val="3C3C3C"/>
                <w:sz w:val="20"/>
                <w:szCs w:val="20"/>
              </w:rPr>
              <w:t xml:space="preserve">The FDA has signaled ongoing evolution of its CDS software regulatory framework. A future final guidance or enforcement action could reclassify SecureDx AI's diagnostic outputs as requiring 510(k) clearance, requiring a costly and time-consuming regulatory submission.</w:t>
            </w:r>
          </w:p>
          <w:p>
            <w:pPr>
              <w:spacing w:before="0" w:after="40"/>
            </w:pPr>
            <w:r>
              <w:rPr>
                <w:b/>
                <w:bCs/>
                <w:color w:val="1E6B2E"/>
                <w:sz w:val="20"/>
                <w:szCs w:val="20"/>
              </w:rPr>
              <w:t xml:space="preserve">✓ Mitigation: </w:t>
            </w:r>
            <w:r>
              <w:rPr>
                <w:color w:val="3C3C3C"/>
                <w:sz w:val="20"/>
                <w:szCs w:val="20"/>
              </w:rPr>
              <w:t xml:space="preserve">Maintain strict CDS exemption posture: always display evidence basis, never use language implying autonomous diagnosis, require clinician override. Engage a regulatory counsel on a quarterly retainer to monitor FDA CDS guidance developments. Begin documenting a 510(k) predicate analysis proactively so a submission can be filed in 90 days if required.</w:t>
            </w:r>
          </w:p>
          <w:p>
            <w:pPr>
              <w:spacing w:before="0" w:after="0"/>
            </w:pPr>
            <w:r>
              <w:rPr>
                <w:b/>
                <w:bCs/>
                <w:color w:val="C07000"/>
                <w:sz w:val="20"/>
                <w:szCs w:val="20"/>
              </w:rPr>
              <w:t xml:space="preserve">⚡ Early Warning: </w:t>
            </w:r>
            <w:r>
              <w:rPr>
                <w:color w:val="3C3C3C"/>
                <w:sz w:val="20"/>
                <w:szCs w:val="20"/>
              </w:rPr>
              <w:t xml:space="preserve">FDA publishes a draft guidance narrowing CDS software exemption criteria, or a competitor's product is classified as a Class II device, creating precedent.</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8.3 Adoption Risks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4E8F" w:val="clear"/>
            <w:tcMar>
              <w:top w:type="dxa" w:w="100"/>
              <w:left w:type="dxa" w:w="160"/>
              <w:bottom w:type="dxa" w:w="100"/>
              <w:right w:type="dxa" w:w="160"/>
            </w:tcMar>
          </w:tcPr>
          <w:p>
            <w:r>
              <w:rPr>
                <w:b/>
                <w:bCs/>
                <w:color w:val="FFFFFF"/>
                <w:sz w:val="22"/>
                <w:szCs w:val="22"/>
              </w:rPr>
              <w:t xml:space="preserve">RISK #5  </w:t>
            </w:r>
            <w:r>
              <w:rPr>
                <w:b/>
                <w:bCs/>
                <w:color w:val="D6E4F0"/>
                <w:sz w:val="18"/>
                <w:szCs w:val="18"/>
              </w:rPr>
              <w:t xml:space="preserve">[ADOPTION]</w:t>
            </w:r>
            <w:r>
              <w:rPr>
                <w:b/>
                <w:bCs/>
                <w:color w:val="FDECEA"/>
                <w:sz w:val="18"/>
                <w:szCs w:val="18"/>
              </w:rPr>
              <w:t xml:space="preserve">  ● SEVERITY: HIGH</w:t>
            </w:r>
          </w:p>
        </w:tc>
      </w:tr>
      <w:tr>
        <w:tc>
          <w:tcPr>
            <w:tcBorders>
              <w:top w:val="single" w:color="DDDDDD" w:sz="1"/>
              <w:left w:val="single" w:color="DDDDDD" w:sz="1"/>
              <w:bottom w:val="single" w:color="DDDDDD" w:sz="1"/>
              <w:right w:val="single" w:color="DDDDDD" w:sz="1"/>
            </w:tcBorders>
            <w:shd w:fill="EBF3FA" w:val="clear"/>
            <w:tcMar>
              <w:top w:type="dxa" w:w="80"/>
              <w:left w:type="dxa" w:w="160"/>
              <w:bottom w:type="dxa" w:w="80"/>
              <w:right w:type="dxa" w:w="160"/>
            </w:tcMar>
          </w:tcPr>
          <w:p>
            <w:pPr>
              <w:spacing w:before="0" w:after="80"/>
            </w:pPr>
            <w:r>
              <w:rPr>
                <w:b/>
                <w:bCs/>
                <w:color w:val="0D2B55"/>
                <w:sz w:val="24"/>
                <w:szCs w:val="24"/>
              </w:rPr>
              <w:t xml:space="preserve">Physician Resistance Due to Alert Fatigue and Workflow Disruption</w:t>
            </w:r>
          </w:p>
          <w:p>
            <w:pPr>
              <w:spacing w:before="0" w:after="40"/>
            </w:pPr>
            <w:r>
              <w:rPr>
                <w:b/>
                <w:bCs/>
                <w:color w:val="A02020"/>
                <w:sz w:val="20"/>
                <w:szCs w:val="20"/>
              </w:rPr>
              <w:t xml:space="preserve">⚠ Risk: </w:t>
            </w:r>
            <w:r>
              <w:rPr>
                <w:color w:val="3C3C3C"/>
                <w:sz w:val="20"/>
                <w:szCs w:val="20"/>
              </w:rPr>
              <w:t xml:space="preserve">Physicians are already overwhelmed with EHR alert fatigue. If SecureDx AI generates frequent low-confidence suggestions, requires excessive clicks, or slows the consultation workflow by even 60 seconds per patient, adoption will fail regardless of technical sophistication.</w:t>
            </w:r>
          </w:p>
          <w:p>
            <w:pPr>
              <w:spacing w:before="0" w:after="40"/>
            </w:pPr>
            <w:r>
              <w:rPr>
                <w:b/>
                <w:bCs/>
                <w:color w:val="1E6B2E"/>
                <w:sz w:val="20"/>
                <w:szCs w:val="20"/>
              </w:rPr>
              <w:t xml:space="preserve">✓ Mitigation: </w:t>
            </w:r>
            <w:r>
              <w:rPr>
                <w:color w:val="3C3C3C"/>
                <w:sz w:val="20"/>
                <w:szCs w:val="20"/>
              </w:rPr>
              <w:t xml:space="preserve">Design the UI around a 'zero-interruption baseline': AI suggestions appear in a non-blocking side panel that physicians can review at their own pace. Set a high confidence threshold (&gt;70%) for surfacing suggestions proactively — below this threshold, suggestions are available on-demand only. Conduct 3-physician usability study before launch and iterate on workflow integration. Track time-per-consultation before and after deployment.</w:t>
            </w:r>
          </w:p>
          <w:p>
            <w:pPr>
              <w:spacing w:before="0" w:after="0"/>
            </w:pPr>
            <w:r>
              <w:rPr>
                <w:b/>
                <w:bCs/>
                <w:color w:val="C07000"/>
                <w:sz w:val="20"/>
                <w:szCs w:val="20"/>
              </w:rPr>
              <w:t xml:space="preserve">⚡ Early Warning: </w:t>
            </w:r>
            <w:r>
              <w:rPr>
                <w:color w:val="3C3C3C"/>
                <w:sz w:val="20"/>
                <w:szCs w:val="20"/>
              </w:rPr>
              <w:t xml:space="preserve">Override rate &gt;60% within first 30 days of deployment (physicians rejecting most suggestions), or average session duration increasing &gt;2 minutes per consultation compared to baseline.</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2B55" w:val="clear"/>
            <w:tcMar>
              <w:top w:type="dxa" w:w="180"/>
              <w:left w:type="dxa" w:w="280"/>
              <w:bottom w:type="dxa" w:w="180"/>
              <w:right w:type="dxa" w:w="280"/>
            </w:tcMar>
          </w:tcPr>
          <w:p>
            <w:pPr>
              <w:spacing w:before="0" w:after="60"/>
            </w:pPr>
            <w:r>
              <w:rPr>
                <w:rFonts w:ascii="Arial" w:cs="Arial" w:eastAsia="Arial" w:hAnsi="Arial"/>
                <w:b/>
                <w:bCs/>
                <w:color w:val="0E7C86"/>
                <w:sz w:val="18"/>
                <w:szCs w:val="18"/>
              </w:rPr>
              <w:t xml:space="preserve">SECTION 09</w:t>
            </w:r>
          </w:p>
          <w:p>
            <w:pPr>
              <w:spacing w:before="0" w:after="60"/>
            </w:pPr>
            <w:r>
              <w:rPr>
                <w:rFonts w:ascii="Arial" w:cs="Arial" w:eastAsia="Arial" w:hAnsi="Arial"/>
                <w:b/>
                <w:bCs/>
                <w:color w:val="FFFFFF"/>
                <w:sz w:val="36"/>
                <w:szCs w:val="36"/>
              </w:rPr>
              <w:t xml:space="preserve">Enhancement Module Specifications</w:t>
            </w:r>
          </w:p>
          <w:p>
            <w:pPr>
              <w:spacing w:before="0" w:after="0"/>
            </w:pPr>
            <w:r>
              <w:rPr>
                <w:rFonts w:ascii="Arial" w:cs="Arial" w:eastAsia="Arial" w:hAnsi="Arial"/>
                <w:color w:val="D6E4F0"/>
                <w:sz w:val="22"/>
                <w:szCs w:val="22"/>
              </w:rPr>
              <w:t xml:space="preserve">Detailed design for five architectural enhancements: BFT, Feedback Loop, Audit Export, Offline-First, RBAC+Break-Glass</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Enhancement 1: Byzantine-Fault-Tolerant Aggregation</w:t>
      </w:r>
    </w:p>
    <w:p>
      <w:pPr>
        <w:spacing w:before="80" w:after="100" w:line="280"/>
      </w:pPr>
      <w:r>
        <w:rPr>
          <w:color w:val="3C3C3C"/>
          <w:sz w:val="22"/>
          <w:szCs w:val="22"/>
        </w:rPr>
        <w:t xml:space="preserve">Incorporated in Section 4.5 above. Full Krum + Trimmed Mean implementation using the Flower custom aggregation strategy API. The FL coordinator runs both algorithms in parallel on each round and flags discrepancies for manual review. Implementation effort: 3 engineering days.</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Enhancement 2: Clinician Feedback Loop UI</w:t>
      </w:r>
    </w:p>
    <w:p>
      <w:pPr>
        <w:spacing w:before="80" w:after="100" w:line="280"/>
      </w:pPr>
      <w:r>
        <w:rPr>
          <w:color w:val="3C3C3C"/>
          <w:sz w:val="22"/>
          <w:szCs w:val="22"/>
        </w:rPr>
        <w:t xml:space="preserve">The feedback loop is the core improvement flywheel. Without it, the federated learning system is passive — it improves only from implicit signals (override patterns). The explicit feedback loop adds a labeled training signal that dramatically accelerates model improvement.</w:t>
      </w:r>
    </w:p>
    <w:p>
      <w:pPr>
        <w:spacing w:before="60" w:after="60"/>
      </w:pPr>
      <w:r>
        <w:t xml:space="preserve"/>
      </w:r>
    </w:p>
    <w:p>
      <w:pPr>
        <w:pStyle w:val="ListParagraph"/>
        <w:numPr>
          <w:ilvl w:val="0"/>
          <w:numId w:val="2"/>
        </w:numPr>
        <w:spacing w:before="60" w:after="60" w:line="260"/>
      </w:pPr>
      <w:r>
        <w:rPr>
          <w:color w:val="3C3C3C"/>
          <w:sz w:val="22"/>
          <w:szCs w:val="22"/>
        </w:rPr>
        <w:t xml:space="preserve">UI component: A non-blocking feedback drawer that appears after each inference result. Physician can rate the suggestion quality (1–5 stars) and select a reason code if rating ≤2 (Incorrect diagnosis, Missing context, Low confidence, Other).</w:t>
      </w:r>
    </w:p>
    <w:p>
      <w:pPr>
        <w:pStyle w:val="ListParagraph"/>
        <w:numPr>
          <w:ilvl w:val="0"/>
          <w:numId w:val="2"/>
        </w:numPr>
        <w:spacing w:before="60" w:after="60" w:line="260"/>
      </w:pPr>
      <w:r>
        <w:rPr>
          <w:color w:val="3C3C3C"/>
          <w:sz w:val="22"/>
          <w:szCs w:val="22"/>
        </w:rPr>
        <w:t xml:space="preserve">Local storage: Feedback events stored in PostgreSQL as a FeedbackEvent table with fields: inference_id, physician_id_hash, rating, reason_code, correct_icd10 (if physician modified), timestamp.</w:t>
      </w:r>
    </w:p>
    <w:p>
      <w:pPr>
        <w:pStyle w:val="ListParagraph"/>
        <w:numPr>
          <w:ilvl w:val="0"/>
          <w:numId w:val="2"/>
        </w:numPr>
        <w:spacing w:before="60" w:after="60" w:line="260"/>
      </w:pPr>
      <w:r>
        <w:rPr>
          <w:color w:val="3C3C3C"/>
          <w:sz w:val="22"/>
          <w:szCs w:val="22"/>
        </w:rPr>
        <w:t xml:space="preserve">Training signal: Nightly batch process converts feedback events into local model fine-tuning signal using LoRA (Low-Rank Adaptation) — computationally efficient fine-tuning on the local node.</w:t>
      </w:r>
    </w:p>
    <w:p>
      <w:pPr>
        <w:pStyle w:val="ListParagraph"/>
        <w:numPr>
          <w:ilvl w:val="0"/>
          <w:numId w:val="2"/>
        </w:numPr>
        <w:spacing w:before="60" w:after="60" w:line="260"/>
      </w:pPr>
      <w:r>
        <w:rPr>
          <w:color w:val="3C3C3C"/>
          <w:sz w:val="22"/>
          <w:szCs w:val="22"/>
        </w:rPr>
        <w:t xml:space="preserve">Privacy: Physician identifiers stored as one-way SHA-256 hashes. Feedback data never leaves the clinic node.</w:t>
      </w:r>
    </w:p>
    <w:p>
      <w:pPr>
        <w:pStyle w:val="ListParagraph"/>
        <w:numPr>
          <w:ilvl w:val="0"/>
          <w:numId w:val="2"/>
        </w:numPr>
        <w:spacing w:before="60" w:after="60" w:line="260"/>
      </w:pPr>
      <w:r>
        <w:rPr>
          <w:color w:val="3C3C3C"/>
          <w:sz w:val="22"/>
          <w:szCs w:val="22"/>
        </w:rPr>
        <w:t xml:space="preserve">Aggregation: Feedback-informed LoRA adapter weights are included in the next gradient submission to the FL coordinator, weighted by feedback quality score.</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Enhancement 3: FHIR AuditEvent Export for Legal Discovery</w:t>
      </w:r>
    </w:p>
    <w:p>
      <w:pPr>
        <w:spacing w:before="80" w:after="100" w:line="280"/>
      </w:pPr>
      <w:r>
        <w:rPr>
          <w:color w:val="3C3C3C"/>
          <w:sz w:val="22"/>
          <w:szCs w:val="22"/>
        </w:rPr>
        <w:t xml:space="preserve">The audit export system converts the internal NDJSON audit log into a legally structured FHIR R4 AuditEvent bundle, digitally signed with the clinic's X.509 certificate for authenticity.</w:t>
      </w:r>
    </w:p>
    <w:p>
      <w:pPr>
        <w:spacing w:before="60" w:after="60"/>
      </w:pPr>
      <w:r>
        <w:t xml:space="preserve"/>
      </w:r>
    </w:p>
    <w:p>
      <w:pPr>
        <w:pStyle w:val="ListParagraph"/>
        <w:numPr>
          <w:ilvl w:val="0"/>
          <w:numId w:val="2"/>
        </w:numPr>
        <w:spacing w:before="60" w:after="60" w:line="260"/>
      </w:pPr>
      <w:r>
        <w:rPr>
          <w:color w:val="3C3C3C"/>
          <w:sz w:val="22"/>
          <w:szCs w:val="22"/>
        </w:rPr>
        <w:t xml:space="preserve">Export trigger: Compliance Officer initiates export via UI with date range, event type filters, and optional PHI masking level.</w:t>
      </w:r>
    </w:p>
    <w:p>
      <w:pPr>
        <w:pStyle w:val="ListParagraph"/>
        <w:numPr>
          <w:ilvl w:val="0"/>
          <w:numId w:val="2"/>
        </w:numPr>
        <w:spacing w:before="60" w:after="60" w:line="260"/>
      </w:pPr>
      <w:r>
        <w:rPr>
          <w:color w:val="3C3C3C"/>
          <w:sz w:val="22"/>
          <w:szCs w:val="22"/>
        </w:rPr>
        <w:t xml:space="preserve">Format: FHIR R4 AuditEvent resources bundled as a FHIR Transaction Bundle. Each AuditEvent maps to: AuditEvent.type (access, create, read, update, delete), AuditEvent.agent (role, user hash), AuditEvent.source (clinic node ID), AuditEvent.entity (resource type, pseudonymous identifier).</w:t>
      </w:r>
    </w:p>
    <w:p>
      <w:pPr>
        <w:pStyle w:val="ListParagraph"/>
        <w:numPr>
          <w:ilvl w:val="0"/>
          <w:numId w:val="2"/>
        </w:numPr>
        <w:spacing w:before="60" w:after="60" w:line="260"/>
      </w:pPr>
      <w:r>
        <w:rPr>
          <w:color w:val="3C3C3C"/>
          <w:sz w:val="22"/>
          <w:szCs w:val="22"/>
        </w:rPr>
        <w:t xml:space="preserve">Digital signature: The exported bundle is signed with the clinic's private key (stored in hardware security module if available, software keystore otherwise). Signature verifiable by any X.509-compatible tool.</w:t>
      </w:r>
    </w:p>
    <w:p>
      <w:pPr>
        <w:pStyle w:val="ListParagraph"/>
        <w:numPr>
          <w:ilvl w:val="0"/>
          <w:numId w:val="2"/>
        </w:numPr>
        <w:spacing w:before="60" w:after="60" w:line="260"/>
      </w:pPr>
      <w:r>
        <w:rPr>
          <w:color w:val="3C3C3C"/>
          <w:sz w:val="22"/>
          <w:szCs w:val="22"/>
        </w:rPr>
        <w:t xml:space="preserve">Chain of custody: Export event itself is logged in the audit log, creating a self-referential tamper evidence record.</w:t>
      </w:r>
    </w:p>
    <w:p>
      <w:pPr>
        <w:spacing w:before="60" w:after="60"/>
      </w:pPr>
      <w:r>
        <w:t xml:space="preserve"/>
      </w:r>
    </w:p>
    <w:p>
      <w:pPr>
        <w:pStyle w:val="Heading2"/>
        <w:spacing w:before="300" w:after="120"/>
      </w:pPr>
      <w:r>
        <w:rPr>
          <w:rFonts w:ascii="Arial" w:cs="Arial" w:eastAsia="Arial" w:hAnsi="Arial"/>
          <w:b/>
          <w:bCs/>
          <w:color w:val="0D2B55"/>
          <w:sz w:val="28"/>
          <w:szCs w:val="28"/>
        </w:rPr>
        <w:t xml:space="preserve">Enhancement 4: Offline-First Resilience Architecture</w:t>
      </w:r>
    </w:p>
    <w:p>
      <w:pPr>
        <w:spacing w:before="80" w:after="100" w:line="280"/>
      </w:pPr>
      <w:r>
        <w:rPr>
          <w:color w:val="3C3C3C"/>
          <w:sz w:val="22"/>
          <w:szCs w:val="22"/>
        </w:rPr>
        <w:t xml:space="preserve">SecureDx AI is designed to function fully without internet connectivity. This is critical for small clinics in rural areas, those with unreliable ISPs, or during network security incidents requiring isolation.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4E8F" w:val="clear"/>
            <w:tcMar>
              <w:top w:type="dxa" w:w="80"/>
              <w:left w:type="dxa" w:w="120"/>
              <w:bottom w:type="dxa" w:w="80"/>
              <w:right w:type="dxa" w:w="120"/>
            </w:tcMar>
          </w:tcPr>
          <w:p>
            <w:r>
              <w:rPr>
                <w:b/>
                <w:bCs/>
                <w:color w:val="FFFFFF"/>
                <w:sz w:val="20"/>
                <w:szCs w:val="20"/>
              </w:rPr>
              <w:t xml:space="preserve">Offline Behavior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Local Inference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Fully offline — no external call required. Model weights stored locally. ONNX Runtime has zero external dependencies in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FHIR Ingestion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Localhost API — offline by design. EHR systems on the same local network can push data regardless of internet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Audit Logging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Write-ahead log (WAL) ensures audit events are durable even during database crashes. No internet dependency.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FL Gradient Sync</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Gradients computed locally and stored in an outbound queue (PostgreSQL table with retry logic). Uploaded when connectivity resumes, with exponential backoff.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1"/>
                <w:szCs w:val="21"/>
              </w:rPr>
              <w:t xml:space="preserve">Keycloak configured with offline token support. JWT tokens are locally cacheable for up to 24 hours, allowing authentication during coordinator outages.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Model Updates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1"/>
                <w:szCs w:val="21"/>
              </w:rPr>
              <w:t xml:space="preserve">Model weight updates downloaded when connectivity is available and staged for off-hours deployment. Current weights remain active until replacement is verified.</w:t>
            </w:r>
          </w:p>
        </w:tc>
      </w:tr>
    </w:tbl>
    <w:p>
      <w:pPr>
        <w:spacing w:before="60" w:after="60"/>
      </w:pPr>
      <w:r>
        <w:t xml:space="preserve"/>
      </w:r>
    </w:p>
    <w:p>
      <w:pPr>
        <w:pStyle w:val="Heading2"/>
        <w:spacing w:before="300" w:after="120"/>
      </w:pPr>
      <w:r>
        <w:rPr>
          <w:rFonts w:ascii="Arial" w:cs="Arial" w:eastAsia="Arial" w:hAnsi="Arial"/>
          <w:b/>
          <w:bCs/>
          <w:color w:val="0D2B55"/>
          <w:sz w:val="28"/>
          <w:szCs w:val="28"/>
        </w:rPr>
        <w:t xml:space="preserve">Enhancement 5: RBAC + Break-Glass Protocol</w:t>
      </w:r>
    </w:p>
    <w:p>
      <w:pPr>
        <w:spacing w:before="80" w:after="100" w:line="280"/>
      </w:pPr>
      <w:r>
        <w:rPr>
          <w:color w:val="3C3C3C"/>
          <w:sz w:val="22"/>
          <w:szCs w:val="22"/>
        </w:rPr>
        <w:t xml:space="preserve">Role-Based Access Control is implemented with three primary roles, each with a strict permission scope. The Break-Glass Protocol provides a documented, auditable pathway for emergency access that satisfies HIPAA's 'emergency access procedure' addressable specification (§164.312(a)(2)(ii)).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Permissions</w:t>
            </w:r>
          </w:p>
        </w:tc>
        <w:tc>
          <w:tcPr>
            <w:tcW w:type="dxa" w:w="35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Restrictions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User management, system configuration, FL settings, hardware monitoring, model update approval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No access to patient clinical data or inference results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b/>
                <w:bCs/>
                <w:color w:val="0D2B55"/>
                <w:sz w:val="20"/>
                <w:szCs w:val="20"/>
              </w:rPr>
              <w:t xml:space="preserve">Physician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Run inference for assigned patients, view results, submit override decisions, access own consultation history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Cannot access other physicians' patients without explicit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Compliance Officer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View all audit logs, export audit bundles, review break-glass events, generate compliance reports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Read-only — cannot modify patient data or system configuration</w:t>
            </w:r>
          </w:p>
        </w:tc>
      </w:tr>
    </w:tbl>
    <w:p>
      <w:pPr>
        <w:spacing w:before="60" w:after="60"/>
      </w:pPr>
      <w:r>
        <w:t xml:space="preserve"/>
      </w:r>
    </w:p>
    <w:p>
      <w:pPr>
        <w:pStyle w:val="Heading3"/>
        <w:spacing w:before="200" w:after="80"/>
      </w:pPr>
      <w:r>
        <w:rPr>
          <w:rFonts w:ascii="Arial" w:cs="Arial" w:eastAsia="Arial" w:hAnsi="Arial"/>
          <w:b/>
          <w:bCs/>
          <w:color w:val="1A4E8F"/>
          <w:sz w:val="24"/>
          <w:szCs w:val="24"/>
        </w:rPr>
        <w:t xml:space="preserve">Break-Glass Protocol</w:t>
      </w:r>
    </w:p>
    <w:p>
      <w:pPr>
        <w:pStyle w:val="ListParagraph"/>
        <w:numPr>
          <w:ilvl w:val="0"/>
          <w:numId w:val="3"/>
        </w:numPr>
        <w:spacing w:before="60" w:after="60" w:line="260"/>
      </w:pPr>
      <w:r>
        <w:rPr>
          <w:color w:val="3C3C3C"/>
          <w:sz w:val="22"/>
          <w:szCs w:val="22"/>
        </w:rPr>
        <w:t xml:space="preserve">Emergency Access Trigger: Any physician can activate Break-Glass for a specific patient in an emergency (e.g., unconscious patient, no assigned physician). Activation requires a reason code selection and free-text justification.</w:t>
      </w:r>
    </w:p>
    <w:p>
      <w:pPr>
        <w:pStyle w:val="ListParagraph"/>
        <w:numPr>
          <w:ilvl w:val="0"/>
          <w:numId w:val="3"/>
        </w:numPr>
        <w:spacing w:before="60" w:after="60" w:line="260"/>
      </w:pPr>
      <w:r>
        <w:rPr>
          <w:color w:val="3C3C3C"/>
          <w:sz w:val="22"/>
          <w:szCs w:val="22"/>
        </w:rPr>
        <w:t xml:space="preserve">Immediate Multi-Channel Alert: Within 60 seconds of activation, alerts are sent to: clinic administrator (email + SMS), the patient's assigned physician (if any, via email), and the compliance officer (email). The alert includes who activated, when, which patient, and the stated reason.</w:t>
      </w:r>
    </w:p>
    <w:p>
      <w:pPr>
        <w:pStyle w:val="ListParagraph"/>
        <w:numPr>
          <w:ilvl w:val="0"/>
          <w:numId w:val="3"/>
        </w:numPr>
        <w:spacing w:before="60" w:after="60" w:line="260"/>
      </w:pPr>
      <w:r>
        <w:rPr>
          <w:color w:val="3C3C3C"/>
          <w:sz w:val="22"/>
          <w:szCs w:val="22"/>
        </w:rPr>
        <w:t xml:space="preserve">Access Granted: The physician gains temporary elevated access to the patient's data for 4 hours. All actions during this window are tagged [BREAK-GLASS] in the audit log.</w:t>
      </w:r>
    </w:p>
    <w:p>
      <w:pPr>
        <w:pStyle w:val="ListParagraph"/>
        <w:numPr>
          <w:ilvl w:val="0"/>
          <w:numId w:val="3"/>
        </w:numPr>
        <w:spacing w:before="60" w:after="60" w:line="260"/>
      </w:pPr>
      <w:r>
        <w:rPr>
          <w:color w:val="3C3C3C"/>
          <w:sz w:val="22"/>
          <w:szCs w:val="22"/>
        </w:rPr>
        <w:t xml:space="preserve">Mandatory Post-Event Review: Within 48 hours, the activating physician must complete a Break-Glass Review form documenting: clinical necessity, actions taken, and outcome. Incomplete reviews trigger escalating reminders.</w:t>
      </w:r>
    </w:p>
    <w:p>
      <w:pPr>
        <w:pStyle w:val="ListParagraph"/>
        <w:numPr>
          <w:ilvl w:val="0"/>
          <w:numId w:val="3"/>
        </w:numPr>
        <w:spacing w:before="60" w:after="60" w:line="260"/>
      </w:pPr>
      <w:r>
        <w:rPr>
          <w:color w:val="3C3C3C"/>
          <w:sz w:val="22"/>
          <w:szCs w:val="22"/>
        </w:rPr>
        <w:t xml:space="preserve">Compliance Officer Review: The compliance officer reviews all break-glass events monthly. Patterns of misuse are escalated to the clinic's Privacy Officer.</w:t>
      </w:r>
    </w:p>
    <w:p>
      <w:pPr>
        <w:spacing w:before="60" w:after="60"/>
      </w:pPr>
      <w:r>
        <w:t xml:space="preserve"/>
      </w:r>
    </w:p>
    <w:p>
      <w:r>
        <w:br w:type="page"/>
      </w:r>
    </w:p>
    <w:p>
      <w:pPr>
        <w:pStyle w:val="Heading2"/>
        <w:spacing w:before="300" w:after="120"/>
      </w:pPr>
      <w:r>
        <w:rPr>
          <w:rFonts w:ascii="Arial" w:cs="Arial" w:eastAsia="Arial" w:hAnsi="Arial"/>
          <w:b/>
          <w:bCs/>
          <w:color w:val="0D2B55"/>
          <w:sz w:val="28"/>
          <w:szCs w:val="28"/>
        </w:rPr>
        <w:t xml:space="preserve">Appendix: 90-Day MVP Build Roadmap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Sprint Focus</w:t>
            </w:r>
          </w:p>
        </w:tc>
        <w:tc>
          <w:tcPr>
            <w:tcW w:type="dxa" w:w="61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Days 1–14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Foundation Sprint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Hardware provisioning, OS setup, Docker Compose scaffold, PostgreSQL + pgcrypto, Keycloak RBAC, FHIR ingestion API skeleton, basic auth flows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b/>
                <w:bCs/>
                <w:color w:val="0D2B55"/>
                <w:sz w:val="20"/>
                <w:szCs w:val="20"/>
              </w:rPr>
              <w:t xml:space="preserve">Days 15–30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Core ML Sprint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ONNX model integration, MIST de-identification pipeline, feature extraction engine, local inference API, SHAP explainability layer, NLG narrative templates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Days 31–45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Security Sprint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Differential privacy (OpenDP integration), TLS 1.3 everywhere, audit log hash chain, break-glass protocol, encrypted volume setup, penetration test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b/>
                <w:bCs/>
                <w:color w:val="0D2B55"/>
                <w:sz w:val="20"/>
                <w:szCs w:val="20"/>
              </w:rPr>
              <w:t xml:space="preserve">Days 46–60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UI Sprint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React physician UI, differential diagnosis display, SHAP visualization, override interface, feedback loop component, admin dashboard, compliance officer views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b/>
                <w:bCs/>
                <w:color w:val="0D2B55"/>
                <w:sz w:val="20"/>
                <w:szCs w:val="20"/>
              </w:rPr>
              <w:t xml:space="preserve">Days 61–75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FL Sprint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color w:val="3C3C3C"/>
                <w:sz w:val="20"/>
                <w:szCs w:val="20"/>
              </w:rPr>
              <w:t xml:space="preserve">Flower client integration, gradient serialization with DP, Krum/Trimmed Mean BFT aggregator, offline queue, node key management, sync monitoring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b/>
                <w:bCs/>
                <w:color w:val="0D2B55"/>
                <w:sz w:val="20"/>
                <w:szCs w:val="20"/>
              </w:rPr>
              <w:t xml:space="preserve">Days 76–90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Hardening Sprint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color w:val="3C3C3C"/>
                <w:sz w:val="20"/>
                <w:szCs w:val="20"/>
              </w:rPr>
              <w:t xml:space="preserve">End-to-end integration testing, HIPAA technical safeguards audit, performance testing (latency SLA verification), 3-physician usability test, documentation, pilot clinic onboarding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EBF3FA" w:val="clear"/>
            <w:tcMar>
              <w:top w:type="dxa" w:w="120"/>
              <w:left w:type="dxa" w:w="160"/>
              <w:bottom w:type="dxa" w:w="120"/>
              <w:right w:type="dxa" w:w="160"/>
            </w:tcMar>
          </w:tcPr>
          <w:p>
            <w:pPr>
              <w:spacing w:before="0" w:after="60"/>
            </w:pPr>
            <w:r>
              <w:rPr>
                <w:rFonts w:ascii="Arial" w:cs="Arial" w:eastAsia="Arial" w:hAnsi="Arial"/>
                <w:b/>
                <w:bCs/>
                <w:color w:val="1A4E8F"/>
                <w:sz w:val="20"/>
                <w:szCs w:val="20"/>
              </w:rPr>
              <w:t xml:space="preserve">Team Size for 90-Day MVP</w:t>
            </w:r>
          </w:p>
          <w:p>
            <w:pPr>
              <w:spacing w:before="0" w:after="0" w:line="260"/>
            </w:pPr>
            <w:r>
              <w:rPr>
                <w:color w:val="3C3C3C"/>
                <w:sz w:val="21"/>
                <w:szCs w:val="21"/>
              </w:rPr>
              <w:t xml:space="preserve">Recommended minimum team: 1x ML Engineer (ONNX, federated learning), 1x Backend Engineer (FastAPI, PostgreSQL, security), 1x Frontend Engineer (React, Electron), 0.5x DevOps/Infra (Docker, Keycloak), 0.5x Healthcare Compliance Consultant (HIPAA guidance, BAA templates). Total: ~4 FTE for 90 days.</w:t>
            </w:r>
          </w:p>
        </w:tc>
      </w:tr>
    </w:tbl>
    <w:p>
      <w:pPr>
        <w:spacing w:before="6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after="0"/>
    </w:pPr>
    <w:r>
      <w:rPr>
        <w:color w:val="6C6C6C"/>
        <w:sz w:val="16"/>
        <w:szCs w:val="16"/>
      </w:rPr>
      <w:t xml:space="preserve">© 2025 SecureDx AI  |  All Rights Reserved</w:t>
    </w:r>
    <w:r>
      <w:t xml:space="preserve">	</w:t>
    </w:r>
    <w:r>
      <w:rPr>
        <w:color w:val="6C6C6C"/>
        <w:sz w:val="16"/>
        <w:szCs w:val="16"/>
      </w:rPr>
      <w:t xml:space="preserve">Page </w:t>
    </w:r>
    <w:r>
      <w:rPr>
        <w:color w:val="6C6C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color w:val="6C6C6C"/>
        <w:sz w:val="18"/>
        <w:szCs w:val="18"/>
      </w:rPr>
      <w:t xml:space="preserve">SecureDx AI — Privacy-First Diagnostic Assistant  |  Technical Blueprint</w:t>
    </w:r>
    <w:r>
      <w:rPr>
        <w:b/>
        <w:bCs/>
        <w:color w:val="A0202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1"/>
        <w:szCs w:val="21"/>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D2B5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4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2026-02-14T12:40:41.375Z</dcterms:created>
  <dcterms:modified xsi:type="dcterms:W3CDTF">2026-02-14T12:40:41.376Z</dcterms:modified>
</cp:coreProperties>
</file>

<file path=docProps/custom.xml><?xml version="1.0" encoding="utf-8"?>
<Properties xmlns="http://schemas.openxmlformats.org/officeDocument/2006/custom-properties" xmlns:vt="http://schemas.openxmlformats.org/officeDocument/2006/docPropsVTypes"/>
</file>