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FakturaPass — Authoritative Technical Contracts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normative for Release A. Where this document differs from research/validation material, this document governs implementation. Values labelled TBD must not be guessed in production behavior.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Canonical invoice contract v1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Media type: application/json. Schema identifier: fakturapass.invoice.v1. All identifiers are strings. All money/rates/quantities are decimal strings. Dates are YYYY-MM-DD. Currency is ISO 4217 uppercase. Country is ISO 3166-1 alpha-2. Preserve leading zeros.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Top-level object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"schemaVersion": "fakturapass.invoice.v1",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"source":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"system": "string",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"recordId": "string",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"receivedAt": "RFC3339 timestamp",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"fileName": "string|null"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"document":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"type": "INVOICE",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"number": "string",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"issueDate": "YYYY-MM-DD",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"currency": "EUR",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"buyerReference": "string|null",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"purchaseOrderReference": "string|null",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"contractReference": "string|null"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"seller": Party,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"buyer": Party,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"lines": [InvoiceLine],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"allowancesCharges": [AllowanceCharge],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"taxBreakdown": [TaxBreakdown],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"totals": Totals,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"payment": Payment|null,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"attachments": [AttachmentMetadata],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"extensions": {}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"name": "string",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"tradingName": "string|null",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"address": {"street":"string","additional":"string|null","city":"string","postalCode":"string","countryCode":"DE"},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"vatId": "string|null",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"taxNumber": "string|null",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"electronicAddress": {"schemeId":"string","value":"string"}|null,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"legalRegistrationId": {"schemeId":"string|null","value":"string"}|null,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"contact": {"name":"string|null","email":"string|null","phone":"string|null"}|null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InvoiceLine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"id":"string",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"name":"string",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"description":"string|null",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"quantity":"decimal-string",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"unitCode":"string",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"unitPrice":{"amount":"decimal-string","baseQuantity":"decimal-string"},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"lineNetAmount":"decimal-string",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"tax":{"categoryCode":"S","rate":"decimal-string"},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"allowancesCharges":[AllowanceCharge],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"buyerAccountingReference":"string|null",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"purchaseOrderLineReference":"string|null"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AllowanceCharge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{"charge":true|false,"reason":"string|null","reasonCode":"string|null","baseAmount":"decimal-string|null","percentage":"decimal-string|null","amount":"decimal-string","tax":{"categoryCode":"S","rate":"decimal-string"}|null}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TaxBreakdown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{"categoryCode":"S","rate":"decimal-string","taxableAmount":"decimal-string","taxAmount":"decimal-string"}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Totals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"lineNetAmount":"decimal-string","allowanceTotal":"decimal-string","chargeTotal":"decimal-string","taxExclusiveAmount":"decimal-string","taxAmount":"decimal-string","taxInclusiveAmount":"decimal-string","prepaidAmount":"decimal-string","payableRoundingAmount":"decimal-string","payableAmount":"decimal-string"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{"meansCode":"string","dueDate":"YYYY-MM-DD|null","terms":"string|null","iban":"string|null","bic":"string|null","accountName":"string|null","paymentReference":"string|null"}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AttachmentMetadata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{"id":"string","fileName":"string","mediaType":"string","description":"string|null","objectKey":"string|null","sha256":"lowercase-hex|null"}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Canonical rules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lines must contain at least one line.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empty strings are rejected; optional absence is null/omitted consistently according to generated JSON Schema.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Release A accepts only document.type=INVOICE, currency=EUR, seller/buyer countryCode=DE and supported standard VAT categories/rates represented by fixtures.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calculated line/tax/document totals are checked using decimal arithmetic and explicit rounding; declared source values are never silently replaced.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extensions cannot influence generation or compliance in Release 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REST API v1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Base path /api/v1. JSON only except downloads. Auth for Release A may use local dev identity but all handlers must receive a server-derived tenant/environment context.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POST /invoices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Headers: Idempotency-Key required.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Body: canonical invoice v1.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201 response: {invoiceId, revisionId, revisionNumber, status, validationSummary}. Same key+same normalized body returns same successful response. Same key+different body =&gt; 409 IDEMPOTENCY_CONFLICT.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GET /invoices?status=&amp;cursor=&amp;limit=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200: {items:[InvoiceSummary], nextCursor:null|string}. limit default 50, max 100.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GET /invoices/{invoiceId}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Returns current revision summary and immutable history references.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GET /invoices/{invoiceId}/revisions/{revisionId}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Returns canonical snapshot, hashes, findings and artifact references permitted to caller.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POST /invoices/{invoiceId}/revisions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Creates a corrected revision from an explicitly supplied canonical document and expected priorRevisionId. No patch semantics in Release A. 409 REVISION_CONFLICT on stale prior revision.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POST /invoices/{invoiceId}/revisions/{revisionId}/validate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Idempotently creates/reuses validation for same revision+profile+rule manifest. Returns validationRunId, summary and findings.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POST /invoices/{invoiceId}/revisions/{revisionId}/approve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Release A local approval only. Body {validationRunId, recipientProfileVersionId|null}. Fails if blocking errors exist or versions do not match.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POST /invoices/{invoiceId}/revisions/{revisionId}/generate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Creates/reuses deterministic XRechnung UBL artifact for same approved inputs. Returns artifactId, sha256 and validation result.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GET /artifacts/{artifactId}/download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Returns application/xml for UBL. Authorization is checked by artifact tenant relationship.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GET /invoices/{invoiceId}/evidence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Returns application/zip or JSON manifest download containing hashes/versions/findings; exact packaging is defined by Operations/Test specification.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GET /health/live and /health/ready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 tenant data. readiness checks database and invoice-engine dependency without exposing secrets.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Error envelope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{"error":{"code":"STABLE_CODE","message":"German or locale-appropriate safe message","requestId":"string","details":{}}}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Never expose stack traces, SQL, secrets or cross-tenant existence.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Stable error/finding codes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AUTH_REQUIRED, ACCESS_DENIED, RESOURCE_NOT_FOUND, INVALID_REQUEST, SCHEMA_INVALID, IDEMPOTENCY_CONFLICT, REVISION_CONFLICT, UNSUPPORTED_CASE, SOURCE_DUPLICATE, MAPPING_INVALID, MAPPING_TRANSFORM_FORBIDDEN, REQUIRED_FIELD_MISSING, DECIMAL_INVALID, TOTAL_MISMATCH, TAX_BREAKDOWN_MISMATCH, RECIPIENT_PROFILE_UNKNOWN, RECIPIENT_REQUIREMENT_MISSING, VALIDATION_FAILED, GENERATION_FAILED, APPROVAL_STALE, APPROVAL_BLOCKED, ARTIFACT_HASH_MISMATCH, ENGINE_UNAVAILABLE, INTERNAL_ERROR.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Findings additionally carry severity ERROR|WARNING|INFO, layer SCHEMA|SEMANTIC|STANDARD|RECIPIENT|SYSTEM, canonicalPath, sourcePath|null, ruleId|null, messageKey, parameters and evidenceSource|null.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4. Invoice state machine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Persistent invoice/revision processing states: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RECEIVED -&gt; NORMALIZED -&gt; VALIDATION_PENDING -&gt; VALID|INVALID|BLOCKED_UNSUPPORTED -&gt; APPROVED -&gt; GENERATION_PENDING -&gt; GENERATED -&gt; ARTIFACT_VALIDATED.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ERROR is a recoverable technical execution state associated with a job/attempt, not a business replacement for INVALID.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Release A terminal successful state: ARTIFACT_VALIDATED.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Any content correction creates a new revision starting at NORMALIZED; it does not move the old revision backward.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Approval allowed only from VALID with no ERROR findings and matching validation/profile versions.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Generation allowed only from APPROVED.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failed official artifact validation cannot reach ARTIFACT_VALIDATED.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 delivery states exist in Release A. Future delivery states must be separate from standards validation to avoid conflating transport with acceptance.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5. Database contract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Use PostgreSQL migrations. UUID/ULID choice is implementation-level but opaque externally. Every tenant-owned table contains tenant_id and tenant-scoped uniqueness/indexes. Primary records: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tenants(id, name, created_at)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memberships(id, tenant_id, user_subject, role, status)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source_artifacts(id, tenant_id, environment, source_system, source_record_id, object_key, sha256, media_type, received_at)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invoices(id, tenant_id, environment, source_system, source_record_id, created_at) UNIQUE(tenant_id,environment,source_system,source_record_id)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invoice_revisions(id, tenant_id, invoice_id, revision_number, schema_version, canonical_json, canonical_sha256, source_artifact_id, created_at) UNIQUE(invoice_id,revision_number)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recipient_profiles(id, tenant_id nullable, recipient_key, status)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recipient_profile_versions(id, profile_id, version, rules_json, source_evidence_json, effective_from, reviewed_at, sha256)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validation_runs(id, tenant_id, revision_id, profile_version_id nullable, rule_manifest_json, engine_version, status, created_at, completed_at)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validation_findings(id, validation_run_id, stable_code, severity, layer, canonical_path, source_path, external_rule_id, message_key, parameters_json)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approvals(id, tenant_id, revision_id, validation_run_id, profile_version_id nullable, approver_subject, approved_at, canonical_sha256)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generation_artifacts(id, tenant_id, revision_id, approval_id, syntax, profile, generator_version, object_key, sha256, created_at)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jobs(id, tenant_id, type, dedupe_key, state, payload_json, attempts, available_at, lease_until, last_error_code)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idempotency_records(id, tenant_id, route_key, idempotency_key, request_sha256, response_status, response_json, created_at) UNIQUE(tenant_id,route_key,idempotency_key)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audit_events(id, tenant_id, actor_subject, action, resource_type, resource_id, request_id, metadata_json, created_at)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Database invariants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app queries must scope by server tenant context before resource ID.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immutable revision/artifact/evidence rows are never updated except operational metadata that does not change semantic content.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canonical_json uses JSONB but hash is computed from a documented canonical serialization.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no invoice payloads in audit_event metadata or ordinary application logs.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6. Mapping contract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Release A does not require arbitrary CSV mapping UI, but mapping package interfaces must be designed for Release B.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 mapping recipe is immutable/versioned: {id, version, inputFormat, sourceSchemaFingerprint, fields:[{targetPath, sourcePath, transform}], tests:[...]}. Allowed transforms are deterministic and side-effect free: trim, normalizeWhitespace, fixed literal configured by an authorized user, parseISODate from declared input pattern, decimalFromLocale with explicit locale, concatenate with explicit separator, code lookup from a versioned explicit table. Forbidden: network calls, arbitrary code/eval, AI inference, tax inference, random/time-dependent values, silent defaulting of business-critical fields.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Every mapped target field records provenance {sourcePath, transformId/version}. Missing required targets become findings, never guessed values.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7. Recipient profile contract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Versioned profile shape: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{recipientKey, displayName, identifiers:[{schemeId,value}], accepted:{syntaxes:[...], profiles:[...], channels:[...]}, requirements:[{id, fieldPath, predicate, severity, messageKey}], evidence:[{sourceType, title, urlOrReference, retrievedAt, effectiveFrom|null, reviewedAt}], status:"VERIFIED"|"TENANT_VERIFIED"|"UNVERIFIED"|"RETIRED"}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Release A synthetic profiles MUST be marked UNVERIFIED or SYNTHETIC in display metadata and must never imply a real recipient's current requirements. A profile change creates a new version; prior evidence remains immutable.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8. Authorization roles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ADMIN: tenant settings/users/integrations plus all operator actions.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OPERATOR: import, view, validate, correct, generate after valid approval policy.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APPROVER: view and approve/reject revisions; cannot alter canonical data in the approval action.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READ_ONLY: view/download permitted artifacts according to tenant policy; no mutation.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SUPPORT is not a customer role; future support access must be time-bound, audited and explicitly authorized.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9. Background job semantics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Jobs use transactional outbox/queue records in PostgreSQL for Release A. Claim with lease/lock; attempts are idempotent. Dedupe keys prevent duplicate validation/generation. Crash after external/local engine completion must reconcile from persisted artifact/hash before retry. Never bill or deliver from a retry in Release 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10. Hashing/canonical serialization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Use SHA-256 lowercase hexadecimal. Source hash is exact bytes. Canonical hash is over a stable canonical JSON serialization: UTF-8, deterministic object-key ordering, exact decimal/date strings, no insignificant whitespace. Generated XML hash is exact persisted bytes. Evidence manifest includes all three where applicable.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11. Evidence manifest v1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"manifestVersion":"fakturapass.evidence.v1","tenantId":"opaque","invoiceId":"opaque","revisionId":"opaque","source":{"sha256":"..."},"canonical":{"schemaVersion":"fakturapass.invoice.v1","sha256":"..."},"generation":{"artifactId":"...","syntax":"XRECHNUNG_UBL","generatorVersion":"...","sha256":"..."},"validation":{"runId":"...","engineVersion":"...","ruleManifestSha256":"...","status":"PASS|FAIL","findingCounts":{"error":0,"warning":0,"info":0}},"recipientProfile":{"versionId":null,"status":"UNKNOWN|SYNTHETIC|VERIFIED"},"createdAt":"RFC3339"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12. Implementation freedom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Framework/library choices inside the planned TypeScript/Next.js/PostgreSQL/Java-container architecture are implementation choices. Changing canonical fields, state transitions, support boundaries, error semantics, authorization model or compliance claims requires an ADR and product-owner decision.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