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FakturaPass — UI/UX Screen and Interaction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normative for Release A UI behavior. Language: German-first UI; machine/API codes remain stable English identifiers.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Finance-first terminology; never require users to understand XML paths to fix ordinary issues.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Show standard validation and recipient-specific checks separately.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Never display “accepted” when only local validation succeeded.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Every error has: short title, explanation, affected field/value, correction action and technical details disclosure.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Preserve canonical data independent from localized display formatting.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Keyboard-operable forms/tables, visible focus, programmatic labels, textual status indicators and no color-only meaning.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Release A navigation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Invoices | Import | Settings/About. Recipient and Mapping sections may exist as read-only synthetic/demo views but are not required for 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Screen 1 — Invoice list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Columns: Invoice number, buyer, issue date, gross/payable amount, revision, processing status, standards result, recipient coverage, updated time.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Filters: processing status and validation result. Search: invoice number/source record/buyer name.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Actions: open invoice. No bulk send.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Empty state: explain how to import a supplied demo fixture.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Screen 2 — Import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Release A supports canonical JSON file/select fixture and pasted JSON only if safe size limits are enforced. Display schema version and maximum payload limit. Before commit, parse and show source identity/document number/buyer/amount where available. Invalid JSON/schema shows field/path errors; never partially create an invoice on parse failure.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Success redirects to invoice workspace.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Screen 3 — Invoice workspace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Header: invoice number, buyer, amount, status, revision selector.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Tabs/sections: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Overview — seller/buyer, dates, references, totals.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 Findings — grouped by Standards, Recipient, Data consistency, System. Errors before warnings/info.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 Source/Canonical — read-only structured view with source/canonical hashes and provenance where available.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 Artifacts/Evidence — generated UBL, validator result, manifest hashes and downloads.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 History — immutable revisions, validations, approvals/generation events.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Primary actions by state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NORMALIZED/INVALID: Validate; correction is via “Create corrected revision” with full canonical input in Release A developer/demo UI.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VALID: Approve revision.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APPROVED: Generate XRechnung.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GENERATED: validation runs automatically; no user claim of success until ARTIFACT_VALIDATED.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ARTIFACT_VALIDATED: Download XML; Download evidence.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BLOCKED_UNSUPPORTED: no approve/generate; show unsupported-case explanation.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Finding presentation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Fehlende Leitweg-/Käuferreferenz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„Für dieses Demo-Empfängerprofil ist eine Käuferreferenz erforderlich.“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Betroffen: document.buyerReference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Quelle: source field/path when known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Code: RECIPIENT_REQUIREMENT_MISSING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Rule/evidence: shown only if supplied; synthetic profiles visibly marked “Demo / nicht verifiziert”.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Totals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Show declared and computed totals side-by-side only when a mismatch exists. Do not visually imply that computed totals have overwritten source amounts.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Status vocabulary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Received=Empfangen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Normalized=Aufbereitet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Validation pending=Prüfung läuft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Valid=Technisch gültig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Invalid=Fehler gefunden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Unsupported=Nicht unterstützt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Approved=Freigegeben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Generating=Erstellung läuft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Generated=Erstellt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Artifact validated=Offizielle Prüfung bestanden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Recipient coverage unknown=Empfängeranforderungen unbekannt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Synthetic recipient=Demo-Empfängerprofil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Avoid “Vom Empfänger akzeptiert” unless future real acceptance evidence exists.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Error/retry UX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Technical failure: display request ID and Retry when operation is safe/idempotent. Unknown system failure must not advise the user to resubmit with a new identity. Validation/business errors are not “system failures.”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Settings/About for Release 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Display environment (LOCAL/DEMO), canonical schema version, generator version, validator/rule bundle version, build commit and a prominent disclaimer that the demonstrator does not send invoices or provide tax/legal advice.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Responsive/accessibility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Desktop optimized for finance workflows but usable at tablet width. Minimum WCAG 2.2 AA target for interactive controls and text contrast. Tables must have accessible headers; findings must be reachable without mouse; loading states announce completion/error; destructive actions require confirmation when introduced.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Acceptance checks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UX-01 User imports valid fixture and sees it in list/workspace.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UX-02 Schema error identifies exact canonical field/path.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UX-03 Standards and recipient findings are visually/semantically distinct.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UX-04 Unknown recipient coverage is never presented as success.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UX-05 Revision history shows old revisions without allowing mutation.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UX-06 User can download final XML/evidence only when authorized.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UX-07 Cross-tenant/forbidden resources do not expose existence in UI error copy.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UX-08 All Release A primary actions are keyboard operable and have visible focus.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