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FakturaPass — Compliance Baseline and Rule Governance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Define what “supported” means and prevent implementation agents from silently substituting standards, rule bundles, tax decisions or recipient claims.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Authoritative standards baseline for Release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XRechnung specification: version 3.0.2.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XRechnung UBL is the only Release A output syntax.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Official XRechnung documents and bundles are obtained from KoSIT/XStandards Einkauf, not copied from blogs or vendor documentation.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Current official documentation page: https://xeinkauf.de/dokumente/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XRechnung overview/version source: https://xeinkauf.de/xrechnung/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Validator configuration repository: https://github.com/itplr-kosit/validator-configuration-xrechnung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Validator repository: https://github.com/itplr-kosit/validator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Pinned validator baseline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implementation must vendor/pin an exact KoSIT validator executable/image and exact XRechnung validator configuration archive, including checksums, in a machine-readable dependency lock/manifest committed to the repository. The current official usage documentation references XRechnung 3.0.2 configuration release v2026-01-31 and archive xrechnung-3.0.2-validator-configuration-2026-01-31.zip. Before the first repository commit that pins binaries, verify the latest official KoSIT validator executable release, license and checksums; record them in docs/compliance-dependencies.md and/or an equivalent lock file. Do not automatically float to “latest” at runtime.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Compliance dependency manifest fields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component, purpose, upstreamUrl, version/releaseTag, artifactName, sha256, license, retrievedAt, effective/supportNotes, replacementReviewDate. CI must fail if expected vendored/downloaded checksum differs.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Validation layers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Canonical schema validation — FakturaPass contract only.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Semantic consistency — decimal/totals/invariants defined by product contract.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Official syntax/business rules — pinned XRechnung/EN16931 validation configuration.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Recipient profile rules — separately sourced/versioned; never presented as official XRechnung rules.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Transport/acceptance — out of Release A and never inferred from 1–4.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Support matrix Release 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SUPPORTED: ordinary domestic German EUR invoice; Invoice document type; UBL/XRechnung 3.0.2 output; explicit supported standard VAT cases represented by approved fixtures; line quantities/prices; document totals; buyer reference/PO references where supplied/required by selected profile.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NOT SUPPORTED until promoted by separate fixtures/domain review: reverse charge, exempt transactions, Kleinunternehmer handling, intra-EU supplies, exports, foreign currency, self-billing, installments, progress/final construction invoices, retention, special industry extensions, credit notes/corrections, Peppol transport, ZUGFeRD generation.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 extensible enum/data model is not evidence of support.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Tax boundary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FakturaPass validates consistency of customer-supplied tax categories, rates and amounts. It does not decide whether a transaction should be taxable, exempt, reverse charge or subject to a specific VAT rate. Missing/ambiguous tax treatment is blocked rather than inferred. UI and documentation must not state or imply tax/legal advice.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Recipient rule governance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Every non-synthetic recipient requirement must store source evidence, retrieval date, effective/review dates where available, version and verification status. Rule sources may include official recipient supplier instructions, portal documentation or explicit customer-provided instructions. A recipient profile cannot be labelled VERIFIED without traceable evidence. Synthetic/demo profiles must be clearly marked and cannot reuse a real organization’s name in a way that implies verified requirements.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Rule update procedure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Detect a new official XRechnung/validator release through the official source/release feed.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Create a change record/ADR noting old and new versions and effective dates.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Download and verify artifacts/checksums/licenses.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Run the complete fixture corpus under old and new rule manifests.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Produce a compatibility report listing changed findings/output behavior.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Review breaking/semantic changes; update mappings/generator only through code review.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7. Do not mutate historical validation runs/evidence.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8. Activate the new rule bundle as a new version; preserve replay capability for historical evidence where licensing/operations permit.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Generator requirements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Generated UBL must be deterministic from canonical revision + generator version + configured standard/profile version. Serializer must escape/encode safely, use explicit code lists, preserve decimal semantics and must not inject current timestamps/random IDs unless those values are part of the immutable generation input. If an XML field requires a generated identifier, persist it as generation input before serialization so retries are stable.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Official-validation acceptance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generated artifact is successful only when the exact persisted XML bytes pass the pinned official validation scenario intended for the selected XRechnung UBL profile. Persist/report validator exit/result, scenario identifier, rule/config version and complete machine-readable findings. Do not validate one byte stream and download another.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Evidence language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Allowed: “XRechnung validation passed using rule bundle &lt;version&gt;.”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Not allowed without separate evidence: “recipient accepted,” “legally compliant in every case,” “payment guaranteed,” “certified by KoSIT,” or equivalent.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ZUGFeRD/Peppol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These remain Release C/conditional extensions under the Development Plan. Before adding ZUGFeRD, define exact Factur-X/ZUGFeRD profile/version, PDF/A-3 conformance checks, embedded XML extraction/hash comparison and visible/structured consistency fixtures. Before Peppol, use a certified partner, define participant identity/discovery, sandbox submission and acknowledgement semantics, and keep network acceptance separate from invoice business acceptance.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Compliance release checklist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exact dependency versions/checksums locked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official positive and negative fixtures included or referenced according to license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FakturaPass synthetic fixtures pass expected rules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unsupported support-matrix cases blocked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no hidden tax inference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rule manifest included in evidence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historical validation results immutable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compliance claims reviewed against actual implemented behavior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