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ADR Seed and Remaining TBD Register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Make unresolved decisions explicit so an AI never converts an assumption into production behavior. These items do not block Release A unless marked 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Approved seed decisions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ADR-0001 — Architecture: modular TypeScript/Next.js application + separate durable worker + isolated Java invoice-engine adapter; PostgreSQL as transactional system of record.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ADR-0002 — Canonical values: invoice v1 contract; decimal strings at boundaries; deterministic decimal arithmetic; no binary floating point for money.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ADR-0003 — Persistence: immutable invoice revisions, generated artifacts and validation/evidence provenance; corrections create new revisions.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ADR-0004 — Jobs: PostgreSQL-backed durable queue/outbox initially; idempotent leased workers and dedupe keys.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ADR-0005 — Compliance: Germany first, XRechnung UBL 3.0.2 baseline, exact validator/rule configuration pinned and recorded; recipient rules separate from official rules.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ADR-0006 — Security: server-derived tenant authorization; production identity bought from established OIDC provider, no custom password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ADR-0007 — Product boundary: no tax-treatment inference, no recipient-acceptance guarantee, unsupported cases blocked.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ADR-0008 — Release A: local/synthetic technical demonstrator; no live transport/billing/production credentials.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 TBDs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TBD-001 Production OIDC provider. Owner: technical/product. Blocks: Release B/C. Selection criteria: MFA, EU processing/DPA, enterprise federation path, service/API identity compatibility, audit/admin controls.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TBD-002 Production hosting/runtime provider and Germany/EU region. Blocks: Release B/C. Must satisfy worker/Java runtime, managed Postgres, secrets/IAM, backups, monitoring, DPA/subprocessors.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TBD-003 Production object storage provider/region. Blocks B/C. Private objects, versioning, lifecycle, encryption, signed download support, auditability.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TBD-004 Transactional email provider and exact delivery semantics. Blocks any email delivery. Email provider acceptance is transport evidence only, not recipient invoice acceptance.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TBD-005 Billing provider/pricing/packages. Blocks commercial self-serve billing, not paid manual pilot invoicing.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TBD-006 First real customer input mapping. Blocks paid production pilot. Resolve from anonymized export and mapping tests; do not generalize from hypothetical fields.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TBD-007 First real recipient profile(s). Blocks recipient-specific production claim. Resolve from traceable recipient/customer instructions and test cases.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TBD-008 Customer-data retention periods, deletion/export terms and contractual/legal basis. Blocks real customer production data. Architecture supports policy but duration must be decided/reviewed.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TBD-009 Pilot transport channel. Blocks live sending. Select only based on committed customer/recipient route; Peppol requires certified partner path.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TBD-010 Supported reduced VAT fixture/cases. Blocks claiming mixed reduced-rate support until domain-reviewed official fixtures pass.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TBD-011 Credit-note/correction workflow. Blocks automated correction of issued invoices until document type/linkage/business process is specified/tested.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TBD-012 ZUGFeRD exact profile/version/library. Blocks ZUGFeRD promise. Must include PDF/A-3 and embedded XML consistency validation.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TBD-013 Production RPO/RTO and support SLA. Blocks commercial production launch.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TBD-014 External security reviewer and review scope. Blocks Release C production readiness.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TBD-015 Legal/compliance wording/DPA/subprocessor set. Blocks production contracting/marketing claims.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Decision rule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a TBD is unresolved, Release A uses a local/synthetic adapter or explicitly blocks the relevant feature. An AI must not select paid vendors, invent legal/retention terms, enable unsupported tax cases or claim recipient behavior to remove a TBD.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How to close a TBD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Record: decision, owner, evidence, chosen option, rejected alternatives, effective release, migration/reversal implications and date. Create an ADR when the decision changes architecture/public behavior/compliance/security. Update affected normative specification and fixture tests in the same change.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Customer validation status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current validation tracker remains the source of commercial evidence. Empty/zero counters are not defects in the build specification; they mean market evidence is not yet collected. Release A may proceed in parallel. Release B/C gates still require the evidence specified in the Product Requirements and Development Plan.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