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FakturaPass — REST API v1 — OpenAPI Contract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Repository target: packages/contracts/openapi.yaml. OpenAPI version: 3.1.x. This document is normative for endpoint semantics; repository YAML must encode it exactly and be validated in CI.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Base path: /api/v1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Content type: application/json except XML/evidence downloads.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Authentication: production uses OIDC-derived user/session or scoped API key. Release A may use a local dev identity adapter, but application handlers always receive server-derived tenantId, actor, role and environment.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Request correlation: accept/generate X-Request-Id; response always contains X-Request-Id.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Mutation responses never expose secrets.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Common Error object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"code": "STABLE_CODE",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"message": "safe localized message",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"requestId": "opaque string",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"details": {}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Standard statuses: 400 invalid request/schema; 401 unauthenticated; 403 forbidden; 404 absent/not-disclosed; 409 idempotency/revision/state conflict; 413 payload too large; 422 semantically unsupported/invalid when the request itself is syntactically valid; 429 rate limited when introduced; 500 internal; 503 dependency unavailable.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POST /invoices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Purpose: ingest canonical invoice v1.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Required header: Idempotency-Key, non-empty max 200 chars.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Body: CanonicalInvoiceV1.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201 body: {invoiceId, revisionId, revisionNumber, status, canonicalSha256, validationSummary|null}.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Idempotency: same tenant+route+key+same canonical request hash returns the original status/body; no duplicate invoice/revision/job. Same key with different body returns 409 IDEMPOTENCY_CONFLICT.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GET /invoices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Query: status optional; cursor optional opaque; limit integer default 50 max 100.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200 body: {items:[InvoiceSummary], nextCursor:string|null}.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InvoiceSummary fields: invoiceId, currentRevisionId, revisionNumber, sourceSystem, sourceRecordId, documentNumber, buyerName, issueDate, currency, payableAmount, status, validationResult, recipientCoverage, updatedAt.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GET /invoices/{invoiceId}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200: InvoiceDetail containing summary plus revisions [{revisionId,revisionNumber,status,canonicalSha256,createdAt}], current validation/artifact references.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403/404 behavior must not leak cross-tenant existence.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GET /invoices/{invoiceId}/revisions/{revisionId}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200: {revisionId, invoiceId, revisionNumber, canonical, canonicalSha256, sourceArtifact:{sha256,...}, status, validationRuns, approval|null, artifacts}.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POST /invoices/{invoiceId}/revisions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Purpose: create correction as new full immutable canonical revision.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Body: {priorRevisionId, canonical:CanonicalInvoiceV1}.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201: {revisionId, revisionNumber, status, canonicalSha256}.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409 REVISION_CONFLICT if priorRevisionId is not the current revision. Release A deliberately avoids PATCH semantics.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POST /invoices/{invoiceId}/revisions/{revisionId}/validate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Body: {recipientProfileVersionId:string|null}.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202 or 200 depending synchronous implementation, but behavior must be stable in YAML. If asynchronous, return {validationRunId,status:"PENDING"}; GET endpoint below resolves completion. If synchronous local Release A chooses 200, record this as ADR and do not vary per request.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Dedupe by revisionId + canonical hash + recipient profile version + complete rule manifest hash.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GET /validation-runs/{validationRunId}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200: {validationRunId,status:"PENDING"|"PASS"|"FAIL"|"ERROR",ruleManifest,engineVersion,summary,findings:[Finding]}.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Finding fields: code,severity,layer,canonicalPath,sourcePath|null,ruleId|null,messageKey,parameters,evidenceSource|null.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POST /invoices/{invoiceId}/revisions/{revisionId}/approve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Body: {validationRunId, recipientProfileVersionId:string|null}.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201: {approvalId,revisionId,canonicalSha256,approvedAt,approver}.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409 APPROVAL_BLOCKED if validation has ERROR findings/unsupported case. 409 APPROVAL_STALE if validation/profile/canonical hash no longer matches.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POST /invoices/{invoiceId}/revisions/{revisionId}/generate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Body: {}.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Precondition: matching approval exists.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202/200 sync decision must be consistent with validate and documented by ADR. Final result: {artifactId,syntax:"XRECHNUNG_UBL",sha256,status,validationRunId}.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Generation is deduplicated for same immutable inputs/generator version.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GET /artifacts/{artifactId}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200 JSON metadata: artifactId,invoiceId,revisionId,syntax,profile,generatorVersion,sha256,createdAt,validationStatus.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GET /artifacts/{artifactId}/download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200 Content-Type application/xml. Content-Disposition attachment with sanitized deterministic filename. Bytes must match stored sha256 and bytes validated by the official engine.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GET /invoices/{invoiceId}/evidence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200 evidence manifest JSON for Release A. Optional ZIP packaging may be added behind content negotiation after contract extension. Required manifest fields are defined in Authoritative Technical Contracts.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GET /recipient-profiles/{recipientKey}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Release A may expose synthetic/read-only profile used by fixtures. Response includes profile status and version. Unknown profile returns 404/coverage UNKNOWN without inventing requirements.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GET /health/live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200 {status:"ok"}. No DB/customer details.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GET /health/ready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200 {status:"ready"} only when required local dependencies are usable; otherwise 503 {status:"not_ready"}. Never return secrets/connection strings.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Contract rules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Every path has explicit operationId, auth requirement, request/response schema and documented error statuses.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Opaque IDs are strings; clients must not infer structure.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Timestamps are RFC3339 UTC in API responses.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Pagination cursors are opaque and stable only for their documented context.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External clients cannot set tenantId, actor, approval identity, artifact hash, validation result or system timestamps.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All write endpoints declare idempotency/state semantics.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OpenAPI examples use only synthetic data/example.invalid addresses.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CI generates/types/checks server/client contract or otherwise validates route implementation against openapi.yaml.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Required operationIds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createInvoice, listInvoices, getInvoice, getInvoiceRevision, createInvoiceRevision, validateInvoiceRevision, getValidationRun, approveInvoiceRevision, generateInvoiceArtifact, getArtifact, downloadArtifact, getInvoiceEvidence, getRecipientProfile, healthLive, healthReady.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Security schemes to encode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Release A/dev: documented local bearer/dev adapter only when NODE_ENV/local environment explicitly permits it.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Production contract: oidcBearer (HTTP bearer/JWT or session façade chosen by ADR) and apiKey for machine ingestion only after scoped key implementation. No anonymous invoice routes.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OpenAPI acceptance tests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Spec parses/validates in CI.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Every implemented /api/v1 route is represented and no undocumented public route is exposed except framework health/static internals explicitly reviewed.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 Canonical invoice examples validate against the repository JSON Schema.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Error examples use only stable codes from the technical contract.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5. Generated API types compile and do not use number for decimal monetary fields.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