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Fixture Corpus and Expected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corpus is the executable product/compliance specification. The repository implementation must materialize these cases as machine-readable JSON/XML files under fixtures/. The Drive folders valid/, invalid/ and expected-output/ mirror the intended repository structure; customer data must never be placed here.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Fixture naming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FP-A-001-valid-basic-standard-vat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FP-A-002-valid-mixed-lines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FP-A-003-valid-decimal-quantity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FP-A-101-invalid-missing-buyer-reference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FP-A-102-invalid-total-mismatch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FP-A-103-invalid-tax-breakdown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FP-A-104-invalid-decimal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FP-A-105-blocked-unsupported-reverse-charge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FP-A-106-blocked-foreign-currency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FP-A-107-idempotency-same-key-different-body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FP-A-108-recipient-coverage-unknown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Golden valid fixture FP-A-001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Canonical input: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"schemaVersion":"fakturapass.invoice.v1",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"source":{"system":"demo-erp","recordId":"INV-1001","receivedAt":"2026-01-15T10:00:00Z","fileName":"inv-1001.json"},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"document":{"type":"INVOICE","number":"2026-1001","issueDate":"2026-01-15","currency":"EUR","buyerReference":"04011000-12345-34","purchaseOrderReference":"PO-7788","contractReference":null},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"seller":{"name":"Demo Lieferant GmbH","tradingName":null,"address":{"street":"Musterstraße 10","additional":null,"city":"Berlin","postalCode":"10115","countryCode":"DE"},"vatId":"DE123456789","taxNumber":null,"electronicAddress":{"schemeId":"EM","value":"rechnung@example.invalid"},"legalRegistrationId":null,"contact":{"name":"Rechnungsteam","email":"rechnung@example.invalid","phone":null}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"buyer":{"name":"Demo Käufer GmbH","tradingName":null,"address":{"street":"Beispielweg 20","additional":null,"city":"Hamburg","postalCode":"20095","countryCode":"DE"},"vatId":"DE987654321","taxNumber":null,"electronicAddress":{"schemeId":"0204","value":"04011000-12345-34"},"legalRegistrationId":null,"contact":null},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"lines":[{"id":"1","name":"Beratungsleistung","description":null,"quantity":"2","unitCode":"HUR","unitPrice":{"amount":"100.00","baseQuantity":"1"},"lineNetAmount":"200.00","tax":{"categoryCode":"S","rate":"19"},"allowancesCharges":[],"buyerAccountingReference":null,"purchaseOrderLineReference":null}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"allowancesCharges":[],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"taxBreakdown":[{"categoryCode":"S","rate":"19","taxableAmount":"200.00","taxAmount":"38.00"}],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"totals":{"lineNetAmount":"200.00","allowanceTotal":"0.00","chargeTotal":"0.00","taxExclusiveAmount":"200.00","taxAmount":"38.00","taxInclusiveAmount":"238.00","prepaidAmount":"0.00","payableRoundingAmount":"0.00","payableAmount":"238.00"},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"payment":{"meansCode":"58","dueDate":"2026-02-14","terms":"Zahlbar innerhalb von 30 Tagen","iban":"DE02120300000000202051","bic":null,"accountName":"Demo Lieferant GmbH","paymentReference":"2026-1001"},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"attachments":[],"extensions":{}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Expected: canonical schema PASS; semantic totals PASS; generation succeeds; persisted XML passes pinned XRechnung UBL validation after the implementation supplies all mandatory XRechnung business terms required by the chosen syntax mapping. If the current canonical contract lacks a mandatory business term discovered by official validation, that is a specification defect: update the canonical contract via ADR rather than silently inserting an invented value.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FP-A-002 valid mixed lines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Two or more lines with different supported standard/reduced VAT rates explicitly supplied; taxBreakdown contains one group per category/rate; expected totals exactly reconcile. Expected: PASS only after a domain-reviewed fixture establishes supported reduced-rate treatment. Until then mark this fixture PENDING_SUPPORT rather than making the engine infer tax treatment.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FP-A-003 valid decimal quantity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Quantity such as 1.25 and price such that multiplication/rounding exercises decimal arithmetic. Expected: no binary floating-point drift; deterministic totals and XML.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FP-A-101 missing buyer reference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Derived from FP-A-001 with document.buyerReference=null and selected synthetic profile requiring it. Expected finding: RECIPIENT_REQUIREMENT_MISSING, severity ERROR, layer RECIPIENT, canonicalPath document.buyerReference. Standards validation may still be separately reported. Approval blocked.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FP-A-102 total mismatch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Derived from FP-A-001 with totals.payableAmount="237.99". Expected TOTAL_MISMATCH ERROR with declared/computed values in parameters. Never auto-correct. Approval blocked.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FP-A-103 tax breakdown mismatch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taxBreakdown.taxAmount differs from recomputed amount while document taxAmount remains declared. Expected TAX_BREAKDOWN_MISMATCH ERROR. No silent rewrite.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FP-A-104 invalid decimal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Any monetary field="12,34" or non-numeric string in canonical JSON. Expected DECIMAL_INVALID/SCHEMA_INVALID according to validation layer. Locale-specific comma parsing belongs to mapping layer, not canonical contract.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FP-A-105 reverse charge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Tax category indicating reverse charge or explicit case marker once schema supports it. Expected UNSUPPORTED_CASE / BLOCKED_UNSUPPORTED; no supported artifact generation until separately promoted.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FP-A-106 foreign currency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currency="USD". Expected UNSUPPORTED_CASE / BLOCKED_UNSUPPORTED for Release 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FP-A-107 idempotency conflict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Request 1 key K with FP-A-001 =&gt; 201. Request 2 same key/body =&gt; same result, no duplicate. Request 3 key K with changed invoice body =&gt; 409 IDEMPOTENCY_CONFLICT.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FP-A-108 unknown recipient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Valid official-standard invoice with no matching recipient profile. Expected official validation result retained; recipient coverage UNKNOWN/RECIPIENT_PROFILE_UNKNOWN informational or warning state; UI must not imply recipient acceptance. Artifact generation may be allowed in Release A demo only if no product policy requires recipient profile, but evidence must show UNKNOWN.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Expected-output requirements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each valid fixture repository implementation must store: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canonical input 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expected semantic findings 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generated XML golden file once serializer is accepted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official validator machine report or normalized finding snapshot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evidence manifest JSON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SHA-256 file containing expected hashes where determinism permits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invalid/blocked fixtures store canonical/input JSON and expected findings/status; no successful golden XML is required.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Golden-file update policy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Golden files may change only when an intentional schema/generator/rule-bundle change is documented. CI must show the diff and require review. Never mass-regenerate goldens solely to make tests pass.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External official test suites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official KoSIT/XRechnung test documents where licensing permits and reference their upstream version. Do not edit official fixtures in place; wrap/reference them and record provenance.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Customer fixtures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Real customer artifacts are stored in approved restricted storage outside the repository/this shared fixture folder. Reusable fixtures must be synthetic or appropriately anonymized with documented permission and should remove unnecessary personal/bank 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Minimum Release A test matrix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Schema: valid, missing required field, unknown schema version, invalid decimal/date/code.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Arithmetic: line multiplication, allowance/charge, tax grouping, rounding boundary, payable reconciliation.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State: invalid cannot approve; stale approval rejected; correction creates new revision; generated artifact immutable.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Auth: cross-tenant invoice/artifact access denied.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Idempotency: same request replay and conflict.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Engine: unavailable/retry; validator failure; persisted artifact hash matches validated bytes.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UI E2E: valid import path and one blocked/error path.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