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FakturaPass — Operations, Security and Delivery Runbook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defines the minimum operational contract for Release A and the gates that must be completed before paid pilot/production. Provider names may remain TBD until a purchase/deployment decision, but security/behavioral requirements are not optional.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Local development baseline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Required toolchain: Docker/Compose-compatible runtime, Node LTS pinned in repository, package manager pinned in packageManager field/lockfile, Java runtime pinned for invoice engine, PostgreSQL container.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One command should start dependencies and application in development (for example make dev or equivalent); one command runs the full verification suite (for example make verify). Exact commands must be documented in repository README and work from a clean clone.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Local topology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web/API -&gt; PostgreSQL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worker -&gt; PostgreSQL + invoice-engine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invoice-engine -&gt; pinned offline validator configuration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object storage: local S3-compatible service or filesystem adapter with identical object/hash semantics; production adapter remains replaceable.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 cloud account is required for Release 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Only configuration/secrets, never business defaults. Provide .env.example with safe placeholders. Required categories: DATABASE_URL, object-store endpoint/bucket/credentials for local adapter, identity/dev-auth mode, invoice-engine URL, validator/rule manifest location, application base URL, log level. Never commit real secrets.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CI pipeline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Every pull request must run: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dependency install from lockfiles only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formatting check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lint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TypeScript typecheck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unit tests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database migration from empty database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integration tests using PostgreSQL + invoice-engine containers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fixture/golden tests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API contract validation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build web/worker/engine artifacts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dependency/license/security scan with documented severity policy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Main branch additionally builds immutable container images with commit SHA/digest and publishes only after tests pass. Production deploy is out of Release 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Database migrations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Forward-only numbered migrations committed to source. CI proves an empty database can reach head. Destructive production migrations require expand/migrate/contract strategy and backup/rollback plan. Application startup must not silently auto-create/change schema outside migrations.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Logging/redaction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Structured JSON logs. Required fields where applicable: timestamp, level, service, environment, requestId/traceId, tenantId pseudonymous/opaque, actor subject hash/opaque ID, operation, resource type/opaque ID, job ID, stable error code, duration.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Never log invoice payloads, XML contents, bank details, access tokens, secrets, raw email addresses unless explicitly approved/redacted, or full validation documents. Findings may log stable codes and paths but not sensitive values by default.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5. Metrics/health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Release A: request count/latency/error rate, job queue depth/age/retries, validation/generation duration and failures, DB pool health, invoice-engine readiness, artifact/hash mismatch count. Health endpoints expose no secrets/customer data. Production alert thresholds are defined before Release B/C.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Security baseline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OIDC provider for production; do not implement password authentication.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MFA requirement for admin/support where provider supports it.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server-derived tenant authorization on API, DB query, download and background job boundaries.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object storage private by default; downloads through authenticated endpoint or short-lived signed URL only after authorization.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API keys stored hashed where applicable; display secret once; support rotation/revocation/scopes.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CSRF/session protections appropriate to chosen auth architecture; secure/HttpOnly/SameSite cookies if cookies are used.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TLS required outside local development.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content-type/size limits on uploads and attachments; treat XML/CSV/JSON as untrusted input.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no XML external entity/network expansion; harden parser against XXE/entity bombs.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dependency and container scanning; pin base images/dependencies; produce SBOM for production builds.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audit sensitive admin/approval/access changes.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7. Tenant isolation test contract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Automated integration tests create Tenant A and B. For every tenant-owned endpoint/resource type, attempt read/update/download using B’s identity and A’s opaque IDs. Expected result: denied without disclosing protected content. Background jobs must include tenant context and re-derive/verify resource ownership when loading records.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8. Object/evidence storage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Persist source, generated XML and evidence objects with immutable/versioned keys and SHA-256. Database stores key/version/hash; downloading recomputes/verifies hash where practical. Never overwrite a semantic artifact in place. Temporary uploads use separate prefix/bucket and explicit lifecycle.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9. Backup/restore — production gate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Before Release C: automated database backups, object-store versioning/backups as selected, documented RPO/RTO, encrypted storage, access controls, and at least one successful restore drill into isolated environment with recorded evidence. Release A local environment does not claim backup guarantees.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10. Retention/GDPR/data lifecycle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Release A synthetic fixtures may be retained with repository history. Real customer data requires a production/pilot retention policy before ingestion. Until product/legal decision, retention durations are TBD and MUST NOT be invented by code. Architecture must support: tenant export, per-artifact retention metadata, deletion workflow, legal/contractual hold flag if later required, audit of deletion requests, and separation of immutable compliance evidence from arbitrary indefinite retention claims.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Before Release B document lawful basis/roles, DPA/subprocessors, hosting regions, support access, incident contacts and customer deletion/export terms with appropriate legal review.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11. Incident response — production gate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Define severity levels, security/contact channel, containment steps, credential rotation, tenant impact analysis, evidence preservation, notification/legal review and post-incident corrective actions. Do not put sensitive incident details in ordinary customer-visible logs.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12. Deployment requirements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Release A: local Compose only is sufficient.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Release B/C provider selection criteria: EU/Germany region availability; managed PostgreSQL; private object storage; container/worker support for persistent Java process; encrypted backups; IAM/secrets management; audit logs; DPA/subprocessor transparency; monitoring integration. Record final choices as ADRs. Do not let an AI select paid providers purely from convenience.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13. Release environments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LOCAL/TEST: synthetic fixtures; no production credentials.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SANDBOX/PILOT: isolated credentials/data; explicit customer authorization; no assumption of production acceptance.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PRODUCTION: separate credentials/database/storage, change control, backups/alerts/support procedures.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Never share secrets or object namespaces across environments.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14. ADR/TBD process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docs/adr/NNNN-title.md for decisions changing architecture, supported behavior, compliance baseline, persistence/auth/provider choices or public API semantics. ADR fields: Status, Context, Decision, Alternatives, Consequences, Reversal trigger, Date/owner.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Maintain docs/TBD.md. Each TBD has ID, question, why it matters, owner, blocking release, default behavior until resolved. Default behavior for unresolved business/compliance question is safe/blocking behavior, not inference.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Seed ADRs to create with repository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ADR-0001 modular monolith + separate worker/invoice engine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ADR-0002 canonical invoice v1 and decimal strings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ADR-0003 PostgreSQL durable jobs/outbox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ADR-0004 deterministic immutable revisions/artifacts/evidence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ADR-0005 XRechnung UBL first and pinned KoSIT validation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ADR-0006 production identity provider TBD; no custom passwords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ADR-0007 production hosting/object-store/billing/email vendors TBD and gated after validation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15. Production readiness checklist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Identity/MFA; tenant isolation test suite; secret rotation; backup restore drill; object retention/deletion/export; monitoring/alerts; incident runbook; security review; dependency/SBOM review; DPA/subprocessors; support access auditing; rate limits/abuse controls; customer-facing status/support process; billing reconciliation; delivery retry/reconciliation semantics; disaster recovery test; runbook owner.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16. Release A completion evidence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Store CI output/artifact hashes, fixture results and dependency manifest for each release tag. A reproducible local demo is the deliverable; do not represent it as production-ready until the later gates are closed.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