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9FB0A" w14:textId="2FD2F311" w:rsidR="00ED620A" w:rsidRPr="00ED620A" w:rsidRDefault="00ED620A" w:rsidP="00ED620A">
      <w:r w:rsidRPr="00ED620A">
        <w:t xml:space="preserve">This document provides background and tabular reference data for several oncology and metabolic drugs. It includes trial summaries, typical adverse events (AEs), dosing patterns, and label cautions. </w:t>
      </w:r>
    </w:p>
    <w:p w14:paraId="2C10B85A" w14:textId="17BFB016" w:rsidR="00ED620A" w:rsidRPr="00ED620A" w:rsidRDefault="00ED620A" w:rsidP="00ED620A">
      <w:r w:rsidRPr="00ED620A">
        <w:rPr>
          <w:b/>
          <w:bCs/>
        </w:rPr>
        <w:t>Background: Clinical Context</w:t>
      </w:r>
    </w:p>
    <w:p w14:paraId="14A018C1" w14:textId="04D9B7F6" w:rsidR="00ED620A" w:rsidRPr="00ED620A" w:rsidRDefault="00ED620A" w:rsidP="00ED620A">
      <w:r w:rsidRPr="00ED620A">
        <w:t>Oncology agents like checkpoint inhibitors (e.g., Pembrolizumab, Nivolumab) can demonstrate durable responses but may present immune-related adverse events (</w:t>
      </w:r>
      <w:proofErr w:type="spellStart"/>
      <w:r w:rsidRPr="00ED620A">
        <w:t>irAEs</w:t>
      </w:r>
      <w:proofErr w:type="spellEnd"/>
      <w:r w:rsidRPr="00ED620A">
        <w:t xml:space="preserve">), including dermatologic, hepatic, and cardiac manifestations. </w:t>
      </w:r>
      <w:r w:rsidR="000F1139" w:rsidRPr="00ED620A">
        <w:t>Traditionally</w:t>
      </w:r>
      <w:r w:rsidRPr="00ED620A">
        <w:t xml:space="preserve"> targeted therapies (e.g., Imatinib) are commonly associated with hematologic AEs. Supportive care and monitoring recommendations may vary across drugs and indications. For metabolic conditions, Metformin remains a foundational therapy with common gastrointestinal AEs and specific cautions on renal function.</w:t>
      </w:r>
    </w:p>
    <w:p w14:paraId="766E9DAC" w14:textId="6B273450" w:rsidR="00ED620A" w:rsidRPr="00ED620A" w:rsidRDefault="00ED620A" w:rsidP="00ED620A">
      <w:r w:rsidRPr="00ED620A">
        <w:t>When interpreting trial summaries, note that AE severity is typically categorized as mild, moderate, or severe, and outcomes may be resolved, ongoing, or, rarely, fatal. Dos</w:t>
      </w:r>
      <w:r w:rsidR="000F1139">
        <w:t>e</w:t>
      </w:r>
      <w:r w:rsidRPr="00ED620A">
        <w:t xml:space="preserve"> recommendations often include loading and maintenance phases, frequency details (daily, bid, every 2 weeks, every 3 weeks), and population considerations (oncology vs. adult).</w:t>
      </w:r>
    </w:p>
    <w:p w14:paraId="0CA3D8FB" w14:textId="6CDE0E08" w:rsidR="00ED620A" w:rsidRPr="00ED620A" w:rsidRDefault="000F1139" w:rsidP="00ED620A">
      <w:r>
        <w:rPr>
          <w:b/>
          <w:bCs/>
        </w:rPr>
        <w:t xml:space="preserve">Narrative </w:t>
      </w:r>
      <w:r w:rsidR="00ED620A" w:rsidRPr="00ED620A">
        <w:rPr>
          <w:b/>
          <w:bCs/>
        </w:rPr>
        <w:t>Notes: Label Considerations</w:t>
      </w:r>
    </w:p>
    <w:p w14:paraId="04C7D4A7" w14:textId="77777777" w:rsidR="00ED620A" w:rsidRPr="00ED620A" w:rsidRDefault="00ED620A" w:rsidP="00ED620A">
      <w:r w:rsidRPr="00ED620A">
        <w:t>- Imatinib: Hematologic monitoring is frequently emphasized, with dose adjustment considerations for severe neutropenia. This reflects the need for routine CBC evaluation in oncology populations.</w:t>
      </w:r>
    </w:p>
    <w:p w14:paraId="0135B861" w14:textId="77777777" w:rsidR="00ED620A" w:rsidRPr="00ED620A" w:rsidRDefault="00ED620A" w:rsidP="00ED620A">
      <w:r w:rsidRPr="00ED620A">
        <w:t>- Pembrolizumab: Immune-related AEs (</w:t>
      </w:r>
      <w:proofErr w:type="spellStart"/>
      <w:r w:rsidRPr="00ED620A">
        <w:t>irAEs</w:t>
      </w:r>
      <w:proofErr w:type="spellEnd"/>
      <w:r w:rsidRPr="00ED620A">
        <w:t>) such as rash and hepatitis may require intervention. Label narratives often discuss corticosteroid use in severe cases, alongside careful evaluation of benefits versus risks.</w:t>
      </w:r>
    </w:p>
    <w:p w14:paraId="04EF0D13" w14:textId="77777777" w:rsidR="00ED620A" w:rsidRPr="00ED620A" w:rsidRDefault="00ED620A" w:rsidP="00ED620A">
      <w:r w:rsidRPr="00ED620A">
        <w:t>- Metformin: Lactic acidosis risk is a critical caution. Label texts generally advise avoidance in severe renal impairment and careful patient selection.</w:t>
      </w:r>
    </w:p>
    <w:p w14:paraId="61D54F58" w14:textId="77777777" w:rsidR="00ED620A" w:rsidRPr="00ED620A" w:rsidRDefault="00ED620A" w:rsidP="00ED620A">
      <w:r w:rsidRPr="00ED620A">
        <w:t>- Nivolumab: Cardiac monitoring may be indicated in certain cases. Clinicians may evaluate myocarditis and interrupt treatment as appropriate under label guidance.</w:t>
      </w:r>
    </w:p>
    <w:p w14:paraId="0F2DB4AD" w14:textId="4CFA04D8" w:rsidR="00ED620A" w:rsidRPr="00ED620A" w:rsidRDefault="00ED620A" w:rsidP="00ED620A">
      <w:r w:rsidRPr="00ED620A">
        <w:t>- Trastuzumab: Cardiotoxicity risk is an ongoing area of attention. Labels commonly recommend baseline and periodic LVEF assessments.</w:t>
      </w:r>
    </w:p>
    <w:p w14:paraId="67790705" w14:textId="77777777" w:rsidR="00ED620A" w:rsidRPr="00ED620A" w:rsidRDefault="00ED620A" w:rsidP="00ED620A">
      <w:r w:rsidRPr="00ED620A">
        <w:t>These narrative notes provide context and should be cross-referenced with precise tabular entries below when answering factual queries.</w:t>
      </w:r>
    </w:p>
    <w:p w14:paraId="290F312C" w14:textId="77777777" w:rsidR="00ED620A" w:rsidRDefault="00ED620A" w:rsidP="00ED620A"/>
    <w:p w14:paraId="672CEC55" w14:textId="77777777" w:rsidR="000F1139" w:rsidRDefault="000F1139" w:rsidP="00ED620A"/>
    <w:p w14:paraId="520F7085" w14:textId="1DCD4717" w:rsidR="00ED620A" w:rsidRDefault="00ED620A" w:rsidP="00ED620A">
      <w:pPr>
        <w:rPr>
          <w:b/>
          <w:bCs/>
        </w:rPr>
      </w:pPr>
      <w:r w:rsidRPr="00ED620A">
        <w:rPr>
          <w:b/>
          <w:bCs/>
        </w:rPr>
        <w:lastRenderedPageBreak/>
        <w:t xml:space="preserve">Table: </w:t>
      </w:r>
      <w:r w:rsidR="00F03ACD" w:rsidRPr="00ED620A">
        <w:rPr>
          <w:b/>
          <w:bCs/>
        </w:rPr>
        <w:t>Trial Summaries</w:t>
      </w:r>
    </w:p>
    <w:tbl>
      <w:tblPr>
        <w:tblW w:w="11663" w:type="dxa"/>
        <w:tblInd w:w="-1143" w:type="dxa"/>
        <w:tblLook w:val="04A0" w:firstRow="1" w:lastRow="0" w:firstColumn="1" w:lastColumn="0" w:noHBand="0" w:noVBand="1"/>
      </w:tblPr>
      <w:tblGrid>
        <w:gridCol w:w="1600"/>
        <w:gridCol w:w="1153"/>
        <w:gridCol w:w="1260"/>
        <w:gridCol w:w="1170"/>
        <w:gridCol w:w="1530"/>
        <w:gridCol w:w="1170"/>
        <w:gridCol w:w="1080"/>
        <w:gridCol w:w="2700"/>
      </w:tblGrid>
      <w:tr w:rsidR="00F03ACD" w:rsidRPr="00F03ACD" w14:paraId="23038F3A" w14:textId="77777777" w:rsidTr="000F1139">
        <w:trPr>
          <w:cantSplit/>
          <w:trHeight w:val="864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CAEDFB"/>
            <w:noWrap/>
            <w:vAlign w:val="center"/>
            <w:hideMark/>
          </w:tcPr>
          <w:p w14:paraId="1BAF1A3C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drug name</w:t>
            </w:r>
          </w:p>
        </w:tc>
        <w:tc>
          <w:tcPr>
            <w:tcW w:w="115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AEDFB"/>
            <w:noWrap/>
            <w:vAlign w:val="center"/>
            <w:hideMark/>
          </w:tcPr>
          <w:p w14:paraId="278E2526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indication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AEDFB"/>
            <w:noWrap/>
            <w:vAlign w:val="center"/>
            <w:hideMark/>
          </w:tcPr>
          <w:p w14:paraId="1333E2DF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population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AEDFB"/>
            <w:noWrap/>
            <w:vAlign w:val="center"/>
            <w:hideMark/>
          </w:tcPr>
          <w:p w14:paraId="4893441A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dose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AEDFB"/>
            <w:noWrap/>
            <w:vAlign w:val="center"/>
            <w:hideMark/>
          </w:tcPr>
          <w:p w14:paraId="54A87109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ae terms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AEDFB"/>
            <w:noWrap/>
            <w:vAlign w:val="center"/>
            <w:hideMark/>
          </w:tcPr>
          <w:p w14:paraId="5D054D12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severity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CAEDFB"/>
            <w:noWrap/>
            <w:vAlign w:val="center"/>
            <w:hideMark/>
          </w:tcPr>
          <w:p w14:paraId="2F6A8D79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outcome</w:t>
            </w:r>
          </w:p>
        </w:tc>
        <w:tc>
          <w:tcPr>
            <w:tcW w:w="27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25C21DF2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notes</w:t>
            </w:r>
          </w:p>
        </w:tc>
      </w:tr>
      <w:tr w:rsidR="00F03ACD" w:rsidRPr="00F03ACD" w14:paraId="3CDFDDA9" w14:textId="77777777" w:rsidTr="000F1139">
        <w:trPr>
          <w:cantSplit/>
          <w:trHeight w:val="1134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A7464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Imatinib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015BD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Chronic Myeloid Leukemia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EE5B3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oncology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EEF8C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400 mg daily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F8C0CE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neutropenia, fatigue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094460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moderate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90F0CB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resolved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B72597E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Phase II showed hematologic AEs manageable</w:t>
            </w:r>
          </w:p>
        </w:tc>
      </w:tr>
      <w:tr w:rsidR="00F03ACD" w:rsidRPr="00F03ACD" w14:paraId="51725628" w14:textId="77777777" w:rsidTr="000F1139">
        <w:trPr>
          <w:cantSplit/>
          <w:trHeight w:val="1134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4780A5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Pembrolizumab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F3B7F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Melanoma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3A2CDC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oncology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7D6D3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200 mg every 3w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953DE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rash, fatigue, hepatotoxicity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31ED2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moderate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260D1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ongoing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E78F597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Immune-related AEs noted</w:t>
            </w:r>
          </w:p>
        </w:tc>
      </w:tr>
      <w:tr w:rsidR="00F03ACD" w:rsidRPr="00F03ACD" w14:paraId="77754068" w14:textId="77777777" w:rsidTr="000F1139">
        <w:trPr>
          <w:cantSplit/>
          <w:trHeight w:val="1134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00E21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Metformin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ADA69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Type 2 Diabetes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9C07E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adult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A6D27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500 mg bid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A40AA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nausea, diarrhea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FAF3E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mild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2D688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resolved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07D06A9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GI intolerance common</w:t>
            </w:r>
          </w:p>
        </w:tc>
      </w:tr>
      <w:tr w:rsidR="00F03ACD" w:rsidRPr="00F03ACD" w14:paraId="3FCB8EC7" w14:textId="77777777" w:rsidTr="000F1139">
        <w:trPr>
          <w:cantSplit/>
          <w:trHeight w:val="1134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4CCC4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Nivolumab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A06620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NSCLC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7ABB2F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oncology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BC095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240 mg every 2w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7EB0C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fever, rash, cardiotoxicity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90F9CF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severe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C5ADC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ongoing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DC66988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Monitor cardiac function</w:t>
            </w:r>
          </w:p>
        </w:tc>
      </w:tr>
      <w:tr w:rsidR="00F03ACD" w:rsidRPr="00F03ACD" w14:paraId="60E21ED8" w14:textId="77777777" w:rsidTr="000F1139">
        <w:trPr>
          <w:cantSplit/>
          <w:trHeight w:val="1134"/>
        </w:trPr>
        <w:tc>
          <w:tcPr>
            <w:tcW w:w="16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7F31323E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Trastuzumab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D617F71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HER2+ Breast Cancer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4062E2E6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oncology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2CA76B05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8 mg/kg then 6mg/kg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2DC17403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neutropenia, cardiotoxicity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718C5EB8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moderate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11AAB8F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resolved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346A62" w14:textId="77777777" w:rsidR="00F03ACD" w:rsidRPr="00F03ACD" w:rsidRDefault="00F03ACD" w:rsidP="00F03AC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F03ACD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Loading then maintenance dosing</w:t>
            </w:r>
          </w:p>
        </w:tc>
      </w:tr>
    </w:tbl>
    <w:p w14:paraId="01E3DBC6" w14:textId="77777777" w:rsidR="00ED620A" w:rsidRDefault="00ED620A" w:rsidP="00ED620A"/>
    <w:p w14:paraId="7322B0C7" w14:textId="77777777" w:rsidR="000F1139" w:rsidRPr="00ED620A" w:rsidRDefault="000F1139" w:rsidP="00ED620A"/>
    <w:p w14:paraId="1D72FA9F" w14:textId="6C353F26" w:rsidR="00ED620A" w:rsidRPr="00ED620A" w:rsidRDefault="00ED620A" w:rsidP="00ED620A">
      <w:r w:rsidRPr="00ED620A">
        <w:rPr>
          <w:b/>
          <w:bCs/>
        </w:rPr>
        <w:t xml:space="preserve">Table: </w:t>
      </w:r>
      <w:r w:rsidR="000F1139" w:rsidRPr="00ED620A">
        <w:rPr>
          <w:b/>
          <w:bCs/>
        </w:rPr>
        <w:t>Label Notes</w:t>
      </w:r>
    </w:p>
    <w:tbl>
      <w:tblPr>
        <w:tblW w:w="9758" w:type="dxa"/>
        <w:tblInd w:w="-948" w:type="dxa"/>
        <w:tblLook w:val="04A0" w:firstRow="1" w:lastRow="0" w:firstColumn="1" w:lastColumn="0" w:noHBand="0" w:noVBand="1"/>
      </w:tblPr>
      <w:tblGrid>
        <w:gridCol w:w="2160"/>
        <w:gridCol w:w="2918"/>
        <w:gridCol w:w="4680"/>
      </w:tblGrid>
      <w:tr w:rsidR="000F1139" w:rsidRPr="000F1139" w14:paraId="5CCAF7DE" w14:textId="77777777" w:rsidTr="000F1139">
        <w:trPr>
          <w:trHeight w:val="300"/>
        </w:trPr>
        <w:tc>
          <w:tcPr>
            <w:tcW w:w="21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center"/>
            <w:hideMark/>
          </w:tcPr>
          <w:p w14:paraId="4AFDE100" w14:textId="77777777" w:rsidR="000F1139" w:rsidRPr="000F1139" w:rsidRDefault="000F1139" w:rsidP="000F11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F11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drug name</w:t>
            </w:r>
          </w:p>
        </w:tc>
        <w:tc>
          <w:tcPr>
            <w:tcW w:w="2918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AEDFB"/>
            <w:noWrap/>
            <w:vAlign w:val="center"/>
            <w:hideMark/>
          </w:tcPr>
          <w:p w14:paraId="08AD908C" w14:textId="77777777" w:rsidR="000F1139" w:rsidRPr="000F1139" w:rsidRDefault="000F1139" w:rsidP="000F11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F11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caution</w:t>
            </w:r>
          </w:p>
        </w:tc>
        <w:tc>
          <w:tcPr>
            <w:tcW w:w="468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CAEDFB"/>
            <w:noWrap/>
            <w:vAlign w:val="center"/>
            <w:hideMark/>
          </w:tcPr>
          <w:p w14:paraId="058F12A5" w14:textId="77777777" w:rsidR="000F1139" w:rsidRPr="000F1139" w:rsidRDefault="000F1139" w:rsidP="000F11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F11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detail</w:t>
            </w:r>
          </w:p>
        </w:tc>
      </w:tr>
      <w:tr w:rsidR="000F1139" w:rsidRPr="000F1139" w14:paraId="5E3C4623" w14:textId="77777777" w:rsidTr="000F1139">
        <w:trPr>
          <w:trHeight w:val="300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3D4C4" w14:textId="77777777" w:rsidR="000F1139" w:rsidRPr="000F1139" w:rsidRDefault="000F1139" w:rsidP="000F11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11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Imatinib</w:t>
            </w:r>
          </w:p>
        </w:tc>
        <w:tc>
          <w:tcPr>
            <w:tcW w:w="2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64A3B" w14:textId="77777777" w:rsidR="000F1139" w:rsidRPr="000F1139" w:rsidRDefault="000F1139" w:rsidP="000F11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11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Hematologic monitoring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C6A89FB" w14:textId="03C8AECA" w:rsidR="000F1139" w:rsidRPr="000F1139" w:rsidRDefault="000F1139" w:rsidP="000F11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11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Monitor CBC, 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D</w:t>
            </w:r>
            <w:r w:rsidRPr="000F11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ose adjust for severe neutropenia</w:t>
            </w:r>
          </w:p>
        </w:tc>
      </w:tr>
      <w:tr w:rsidR="000F1139" w:rsidRPr="000F1139" w14:paraId="5E394C69" w14:textId="77777777" w:rsidTr="000F1139">
        <w:trPr>
          <w:trHeight w:val="300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5B9264" w14:textId="77777777" w:rsidR="000F1139" w:rsidRPr="000F1139" w:rsidRDefault="000F1139" w:rsidP="000F11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11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Pembrolizumab</w:t>
            </w:r>
          </w:p>
        </w:tc>
        <w:tc>
          <w:tcPr>
            <w:tcW w:w="2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0BF2D3" w14:textId="77777777" w:rsidR="000F1139" w:rsidRPr="000F1139" w:rsidRDefault="000F1139" w:rsidP="000F11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11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Immune-related adverse events (</w:t>
            </w:r>
            <w:proofErr w:type="spellStart"/>
            <w:r w:rsidRPr="000F11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irAEs</w:t>
            </w:r>
            <w:proofErr w:type="spellEnd"/>
            <w:r w:rsidRPr="000F11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A6F6317" w14:textId="77777777" w:rsidR="000F1139" w:rsidRPr="000F1139" w:rsidRDefault="000F1139" w:rsidP="000F11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11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Consider corticosteroids for severe rash/hepatitis</w:t>
            </w:r>
          </w:p>
        </w:tc>
      </w:tr>
      <w:tr w:rsidR="000F1139" w:rsidRPr="000F1139" w14:paraId="75A4C2E7" w14:textId="77777777" w:rsidTr="000F1139">
        <w:trPr>
          <w:trHeight w:val="300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536ED" w14:textId="77777777" w:rsidR="000F1139" w:rsidRPr="000F1139" w:rsidRDefault="000F1139" w:rsidP="000F11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11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Metformin</w:t>
            </w:r>
          </w:p>
        </w:tc>
        <w:tc>
          <w:tcPr>
            <w:tcW w:w="2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919AF" w14:textId="77777777" w:rsidR="000F1139" w:rsidRPr="000F1139" w:rsidRDefault="000F1139" w:rsidP="000F11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11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Lactic acidosis risk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9AB2485" w14:textId="77777777" w:rsidR="000F1139" w:rsidRPr="000F1139" w:rsidRDefault="000F1139" w:rsidP="000F11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11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Avoid in severe renal impairment</w:t>
            </w:r>
          </w:p>
        </w:tc>
      </w:tr>
      <w:tr w:rsidR="000F1139" w:rsidRPr="000F1139" w14:paraId="0E0B09E6" w14:textId="77777777" w:rsidTr="000F1139">
        <w:trPr>
          <w:trHeight w:val="300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607C9" w14:textId="77777777" w:rsidR="000F1139" w:rsidRPr="000F1139" w:rsidRDefault="000F1139" w:rsidP="000F11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11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Nivolumab</w:t>
            </w:r>
          </w:p>
        </w:tc>
        <w:tc>
          <w:tcPr>
            <w:tcW w:w="2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58B34" w14:textId="77777777" w:rsidR="000F1139" w:rsidRPr="000F1139" w:rsidRDefault="000F1139" w:rsidP="000F11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11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Cardiac monitoring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BEA13EB" w14:textId="77777777" w:rsidR="000F1139" w:rsidRPr="000F1139" w:rsidRDefault="000F1139" w:rsidP="000F11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11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Evaluate myocarditis, interrupt treatment if needed</w:t>
            </w:r>
          </w:p>
        </w:tc>
      </w:tr>
      <w:tr w:rsidR="000F1139" w:rsidRPr="000F1139" w14:paraId="52798812" w14:textId="77777777" w:rsidTr="000F1139">
        <w:trPr>
          <w:trHeight w:val="315"/>
        </w:trPr>
        <w:tc>
          <w:tcPr>
            <w:tcW w:w="21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588762D8" w14:textId="77777777" w:rsidR="000F1139" w:rsidRPr="000F1139" w:rsidRDefault="000F1139" w:rsidP="000F11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11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Trastuzumab</w:t>
            </w:r>
          </w:p>
        </w:tc>
        <w:tc>
          <w:tcPr>
            <w:tcW w:w="29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5CE7CB57" w14:textId="77777777" w:rsidR="000F1139" w:rsidRPr="000F1139" w:rsidRDefault="000F1139" w:rsidP="000F11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11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Cardiotoxicity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709E66" w14:textId="77777777" w:rsidR="000F1139" w:rsidRPr="000F1139" w:rsidRDefault="000F1139" w:rsidP="000F11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0F113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Baseline and periodic LVEF assessment</w:t>
            </w:r>
          </w:p>
        </w:tc>
      </w:tr>
    </w:tbl>
    <w:p w14:paraId="62872FC3" w14:textId="77777777" w:rsidR="000F1139" w:rsidRDefault="000F1139" w:rsidP="00ED620A">
      <w:pPr>
        <w:rPr>
          <w:b/>
          <w:bCs/>
        </w:rPr>
      </w:pPr>
    </w:p>
    <w:p w14:paraId="12168BBD" w14:textId="286C6C65" w:rsidR="00ED620A" w:rsidRPr="00ED620A" w:rsidRDefault="00ED620A" w:rsidP="00ED620A">
      <w:r w:rsidRPr="00ED620A">
        <w:rPr>
          <w:b/>
          <w:bCs/>
        </w:rPr>
        <w:t>Guidance on Use</w:t>
      </w:r>
    </w:p>
    <w:p w14:paraId="05FB96F9" w14:textId="7605F272" w:rsidR="00ED620A" w:rsidRPr="00ED620A" w:rsidRDefault="00ED620A" w:rsidP="00ED620A">
      <w:r w:rsidRPr="00ED620A">
        <w:t xml:space="preserve">- For qualitative context and label cautions, prefer narrative sections and </w:t>
      </w:r>
      <w:r w:rsidR="000F1139" w:rsidRPr="00ED620A">
        <w:t>Label Notes</w:t>
      </w:r>
      <w:r w:rsidRPr="00ED620A">
        <w:t xml:space="preserve"> (Doc).</w:t>
      </w:r>
    </w:p>
    <w:p w14:paraId="1FDB829C" w14:textId="7A1FA50D" w:rsidR="00ED620A" w:rsidRPr="00ED620A" w:rsidRDefault="00ED620A" w:rsidP="00ED620A">
      <w:r w:rsidRPr="00ED620A">
        <w:lastRenderedPageBreak/>
        <w:t xml:space="preserve">- For exact numeric/categorical fields (dose, AE terms, severity, outcomes, indications), prefer </w:t>
      </w:r>
      <w:r w:rsidR="000F1139" w:rsidRPr="00ED620A">
        <w:t>Trial Summaries</w:t>
      </w:r>
      <w:r w:rsidRPr="00ED620A">
        <w:t xml:space="preserve"> (Doc) or the </w:t>
      </w:r>
      <w:r w:rsidR="000F1139">
        <w:t>Excel</w:t>
      </w:r>
      <w:r w:rsidRPr="00ED620A">
        <w:t xml:space="preserve"> dataset.</w:t>
      </w:r>
    </w:p>
    <w:p w14:paraId="5777D915" w14:textId="041B43C3" w:rsidR="007837DE" w:rsidRDefault="00ED620A">
      <w:r w:rsidRPr="00ED620A">
        <w:t xml:space="preserve">- If a precise, structured value is needed, prefer </w:t>
      </w:r>
      <w:r w:rsidR="000F1139" w:rsidRPr="00ED620A">
        <w:t>Excel</w:t>
      </w:r>
      <w:r w:rsidRPr="00ED620A">
        <w:t>. Use Doc narrative only to supplement context</w:t>
      </w:r>
      <w:r w:rsidR="000F1139">
        <w:t>.</w:t>
      </w:r>
    </w:p>
    <w:sectPr w:rsidR="007837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20A"/>
    <w:rsid w:val="000F1139"/>
    <w:rsid w:val="00122560"/>
    <w:rsid w:val="004251EB"/>
    <w:rsid w:val="007837DE"/>
    <w:rsid w:val="00ED620A"/>
    <w:rsid w:val="00F03ACD"/>
    <w:rsid w:val="00F76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3397C"/>
  <w15:chartTrackingRefBased/>
  <w15:docId w15:val="{6480099D-A062-4AE3-A3EA-39E125566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6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6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6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6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2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2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2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2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495</Words>
  <Characters>3179</Characters>
  <Application>Microsoft Office Word</Application>
  <DocSecurity>0</DocSecurity>
  <Lines>109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Kumar</dc:creator>
  <cp:keywords/>
  <dc:description/>
  <cp:lastModifiedBy>Abhishek Kumar</cp:lastModifiedBy>
  <cp:revision>1</cp:revision>
  <dcterms:created xsi:type="dcterms:W3CDTF">2025-12-05T02:39:00Z</dcterms:created>
  <dcterms:modified xsi:type="dcterms:W3CDTF">2025-12-05T03:32:00Z</dcterms:modified>
</cp:coreProperties>
</file>