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65EE7" w14:paraId="58D78577" w14:textId="77777777">
        <w:tc>
          <w:tcPr>
            <w:tcW w:w="9360" w:type="dxa"/>
            <w:tcBorders>
              <w:top w:val="none" w:sz="0" w:space="0" w:color="FFFFFF"/>
              <w:left w:val="none" w:sz="0" w:space="0" w:color="FFFFFF"/>
              <w:bottom w:val="none" w:sz="0" w:space="0" w:color="FFFFFF"/>
              <w:right w:val="none" w:sz="0" w:space="0" w:color="FFFFFF"/>
            </w:tcBorders>
            <w:shd w:val="clear" w:color="auto" w:fill="1F3864"/>
            <w:tcMar>
              <w:top w:w="160" w:type="dxa"/>
              <w:left w:w="200" w:type="dxa"/>
              <w:bottom w:w="160" w:type="dxa"/>
              <w:right w:w="200" w:type="dxa"/>
            </w:tcMar>
          </w:tcPr>
          <w:p w14:paraId="54B903E7" w14:textId="77777777" w:rsidR="00065EE7" w:rsidRDefault="000B0521">
            <w:pPr>
              <w:jc w:val="center"/>
            </w:pPr>
            <w:r>
              <w:rPr>
                <w:b/>
                <w:bCs/>
                <w:color w:val="FFFFFF"/>
                <w:sz w:val="24"/>
                <w:szCs w:val="24"/>
              </w:rPr>
              <w:t>INTERNATIONAL JOURNAL OF LOGISTICS &amp; SUPPLY CHAIN ANALYTICS</w:t>
            </w:r>
          </w:p>
        </w:tc>
      </w:tr>
    </w:tbl>
    <w:p w14:paraId="5F280A2F" w14:textId="77777777" w:rsidR="00065EE7" w:rsidRDefault="00065EE7">
      <w:pPr>
        <w:spacing w:before="80" w:after="80"/>
      </w:pPr>
    </w:p>
    <w:p w14:paraId="1E1B92C1" w14:textId="77777777" w:rsidR="00065EE7" w:rsidRDefault="000B0521">
      <w:pPr>
        <w:spacing w:before="40" w:after="40"/>
        <w:jc w:val="right"/>
      </w:pPr>
      <w:r>
        <w:rPr>
          <w:b/>
          <w:bCs/>
          <w:color w:val="2E75B6"/>
          <w:sz w:val="20"/>
          <w:szCs w:val="20"/>
        </w:rPr>
        <w:t>[RESEARCH PAPER]</w:t>
      </w:r>
    </w:p>
    <w:p w14:paraId="22D9BC40" w14:textId="77777777" w:rsidR="00065EE7" w:rsidRDefault="00065EE7">
      <w:pPr>
        <w:spacing w:before="120" w:after="120"/>
      </w:pPr>
    </w:p>
    <w:p w14:paraId="16179754" w14:textId="77777777" w:rsidR="00065EE7" w:rsidRDefault="000B0521">
      <w:pPr>
        <w:spacing w:before="80" w:after="40"/>
        <w:jc w:val="center"/>
      </w:pPr>
      <w:r>
        <w:rPr>
          <w:b/>
          <w:bCs/>
          <w:color w:val="1F3864"/>
          <w:sz w:val="30"/>
          <w:szCs w:val="30"/>
        </w:rPr>
        <w:t>FACTORY-TO-CUSTOMER SHIPPING ROUTE EFFICIENCY ANALYSIS FOR</w:t>
      </w:r>
    </w:p>
    <w:p w14:paraId="22152E36" w14:textId="77777777" w:rsidR="00065EE7" w:rsidRDefault="000B0521">
      <w:pPr>
        <w:spacing w:after="40"/>
        <w:jc w:val="center"/>
      </w:pPr>
      <w:r>
        <w:rPr>
          <w:b/>
          <w:bCs/>
          <w:color w:val="1F3864"/>
          <w:sz w:val="30"/>
          <w:szCs w:val="30"/>
        </w:rPr>
        <w:t>NASSAU CANDY DISTRIBUTOR: A DATA-DRIVEN LOGISTICS</w:t>
      </w:r>
    </w:p>
    <w:p w14:paraId="219A860A" w14:textId="77777777" w:rsidR="00065EE7" w:rsidRDefault="000B0521">
      <w:pPr>
        <w:spacing w:after="100"/>
        <w:jc w:val="center"/>
      </w:pPr>
      <w:r>
        <w:rPr>
          <w:b/>
          <w:bCs/>
          <w:color w:val="1F3864"/>
          <w:sz w:val="30"/>
          <w:szCs w:val="30"/>
        </w:rPr>
        <w:t>INTELLIGENCE FRAMEWORK</w:t>
      </w:r>
    </w:p>
    <w:p w14:paraId="4014FEDB" w14:textId="77777777" w:rsidR="00065EE7" w:rsidRDefault="000B0521">
      <w:pPr>
        <w:spacing w:before="60" w:after="40"/>
        <w:jc w:val="center"/>
      </w:pPr>
      <w:r>
        <w:rPr>
          <w:b/>
          <w:bCs/>
          <w:color w:val="2E75B6"/>
        </w:rPr>
        <w:t>Analytics &amp; Logistics Intelligence Division</w:t>
      </w:r>
    </w:p>
    <w:p w14:paraId="0081ED81" w14:textId="77777777" w:rsidR="00065EE7" w:rsidRDefault="000B0521">
      <w:pPr>
        <w:spacing w:after="40"/>
        <w:jc w:val="center"/>
      </w:pPr>
      <w:r>
        <w:rPr>
          <w:i/>
          <w:iCs/>
          <w:color w:val="555555"/>
          <w:sz w:val="20"/>
          <w:szCs w:val="20"/>
        </w:rPr>
        <w:t>Nassau Candy Distributor, National Distribution Network Research Group</w:t>
      </w:r>
    </w:p>
    <w:p w14:paraId="13812E74" w14:textId="77777777" w:rsidR="00065EE7" w:rsidRDefault="000B0521">
      <w:pPr>
        <w:spacing w:after="60"/>
        <w:jc w:val="center"/>
      </w:pPr>
      <w:r>
        <w:rPr>
          <w:color w:val="555555"/>
          <w:sz w:val="20"/>
          <w:szCs w:val="20"/>
        </w:rPr>
        <w:t xml:space="preserve">Received: February </w:t>
      </w:r>
      <w:proofErr w:type="gramStart"/>
      <w:r>
        <w:rPr>
          <w:color w:val="555555"/>
          <w:sz w:val="20"/>
          <w:szCs w:val="20"/>
        </w:rPr>
        <w:t>2026  |</w:t>
      </w:r>
      <w:proofErr w:type="gramEnd"/>
      <w:r>
        <w:rPr>
          <w:color w:val="555555"/>
          <w:sz w:val="20"/>
          <w:szCs w:val="20"/>
        </w:rPr>
        <w:t xml:space="preserve">  Accepted: March 2026  |  Published: April 2026</w:t>
      </w:r>
    </w:p>
    <w:p w14:paraId="5DDFE1A5" w14:textId="77777777" w:rsidR="00065EE7" w:rsidRDefault="000B0521">
      <w:pPr>
        <w:spacing w:after="20"/>
        <w:jc w:val="center"/>
      </w:pPr>
      <w:r>
        <w:rPr>
          <w:i/>
          <w:iCs/>
          <w:color w:val="444444"/>
          <w:sz w:val="20"/>
          <w:szCs w:val="20"/>
        </w:rPr>
        <w:t>Corresponding Author: Mohammad Akbar</w:t>
      </w:r>
    </w:p>
    <w:p w14:paraId="70E0638C" w14:textId="77777777" w:rsidR="00065EE7" w:rsidRDefault="000B0521">
      <w:pPr>
        <w:spacing w:after="60"/>
        <w:jc w:val="center"/>
      </w:pPr>
      <w:r>
        <w:rPr>
          <w:i/>
          <w:iCs/>
          <w:color w:val="444444"/>
          <w:sz w:val="20"/>
          <w:szCs w:val="20"/>
        </w:rPr>
        <w:t xml:space="preserve">Organization: Unified </w:t>
      </w:r>
      <w:proofErr w:type="gramStart"/>
      <w:r>
        <w:rPr>
          <w:i/>
          <w:iCs/>
          <w:color w:val="444444"/>
          <w:sz w:val="20"/>
          <w:szCs w:val="20"/>
        </w:rPr>
        <w:t>Mentor  |</w:t>
      </w:r>
      <w:proofErr w:type="gramEnd"/>
      <w:r>
        <w:rPr>
          <w:i/>
          <w:iCs/>
          <w:color w:val="444444"/>
          <w:sz w:val="20"/>
          <w:szCs w:val="20"/>
        </w:rPr>
        <w:t xml:space="preserve">  Instructor: Saiprasad </w:t>
      </w:r>
      <w:proofErr w:type="spellStart"/>
      <w:r>
        <w:rPr>
          <w:i/>
          <w:iCs/>
          <w:color w:val="444444"/>
          <w:sz w:val="20"/>
          <w:szCs w:val="20"/>
        </w:rPr>
        <w:t>Kagne</w:t>
      </w:r>
      <w:proofErr w:type="spellEnd"/>
    </w:p>
    <w:p w14:paraId="6B57E9E4" w14:textId="77777777" w:rsidR="00065EE7" w:rsidRDefault="00065EE7">
      <w:pPr>
        <w:spacing w:before="160"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65EE7" w14:paraId="11E8B4D7" w14:textId="77777777">
        <w:tc>
          <w:tcPr>
            <w:tcW w:w="9360" w:type="dxa"/>
            <w:tcBorders>
              <w:top w:val="single" w:sz="8" w:space="0" w:color="1F3864"/>
              <w:left w:val="single" w:sz="2" w:space="0" w:color="1F3864"/>
              <w:bottom w:val="single" w:sz="8" w:space="0" w:color="1F3864"/>
              <w:right w:val="single" w:sz="2" w:space="0" w:color="1F3864"/>
            </w:tcBorders>
            <w:shd w:val="clear" w:color="auto" w:fill="F4F8FF"/>
            <w:tcMar>
              <w:top w:w="160" w:type="dxa"/>
              <w:left w:w="240" w:type="dxa"/>
              <w:bottom w:w="160" w:type="dxa"/>
              <w:right w:w="240" w:type="dxa"/>
            </w:tcMar>
          </w:tcPr>
          <w:p w14:paraId="26B4CFBC" w14:textId="77777777" w:rsidR="00065EE7" w:rsidRDefault="000B0521">
            <w:pPr>
              <w:spacing w:after="80"/>
            </w:pPr>
            <w:r>
              <w:rPr>
                <w:b/>
                <w:bCs/>
                <w:color w:val="1F3864"/>
              </w:rPr>
              <w:t>ABSTRACT</w:t>
            </w:r>
          </w:p>
          <w:p w14:paraId="0192152D" w14:textId="77777777" w:rsidR="00065EE7" w:rsidRDefault="000B0521">
            <w:pPr>
              <w:spacing w:after="80" w:line="264" w:lineRule="auto"/>
              <w:jc w:val="both"/>
            </w:pPr>
            <w:r>
              <w:t xml:space="preserve">Nassau Candy Distributor operates one of North America’s most complex confectionery distribution networks, coordinating shipments from five specialized manufacturing facilities across the United States to a diverse national customer base. Despite possessing comprehensive transactional data, the organization has historically lacked the analytical infrastructure to convert raw shipment records into actionable route-level intelligence. This research paper presents a structured, multi-stage analytical framework that systematically addresses this intelligence gap. Through rigorous data validation, lead time engineering, route aggregation, and efficiency benchmarking, the study identifies persistent underperformance patterns across the logistics network. Key findings reveal significant lead time variability across factory origins, with the Sugar Shack (MN) facility exhibiting the network’s longest average lead time. Geographic analysis confirms that the South and Northeast regions constitute primary bottleneck zones, while ship mode evaluation demonstrates that premium expedited services yield diminishing returns on short-haul corridors. A production-ready </w:t>
            </w:r>
            <w:proofErr w:type="spellStart"/>
            <w:r>
              <w:t>Streamlit</w:t>
            </w:r>
            <w:proofErr w:type="spellEnd"/>
            <w:r>
              <w:t xml:space="preserve"> intelligence dashboard operationalizes all findings, providing stakeholders with real-time monitoring capabilities and enabling a decisive shift from reactive to proactive logistics management.</w:t>
            </w:r>
          </w:p>
          <w:p w14:paraId="5C430376" w14:textId="77777777" w:rsidR="00065EE7" w:rsidRDefault="000B0521">
            <w:pPr>
              <w:spacing w:before="60"/>
            </w:pPr>
            <w:r>
              <w:rPr>
                <w:b/>
                <w:bCs/>
                <w:i/>
                <w:iCs/>
                <w:sz w:val="20"/>
                <w:szCs w:val="20"/>
              </w:rPr>
              <w:t xml:space="preserve">Keywords: </w:t>
            </w:r>
            <w:r>
              <w:rPr>
                <w:i/>
                <w:iCs/>
                <w:sz w:val="20"/>
                <w:szCs w:val="20"/>
              </w:rPr>
              <w:t xml:space="preserve">Route Efficiency Analysis · Logistics Intelligence · Factory-to-Customer Routes · Geographic Bottleneck · Shipping Lead Time · Delay Frequency · KPI Framework · </w:t>
            </w:r>
            <w:proofErr w:type="spellStart"/>
            <w:r>
              <w:rPr>
                <w:i/>
                <w:iCs/>
                <w:sz w:val="20"/>
                <w:szCs w:val="20"/>
              </w:rPr>
              <w:t>Streamlit</w:t>
            </w:r>
            <w:proofErr w:type="spellEnd"/>
            <w:r>
              <w:rPr>
                <w:i/>
                <w:iCs/>
                <w:sz w:val="20"/>
                <w:szCs w:val="20"/>
              </w:rPr>
              <w:t xml:space="preserve"> Dashboard</w:t>
            </w:r>
          </w:p>
        </w:tc>
      </w:tr>
    </w:tbl>
    <w:p w14:paraId="276E5B6C" w14:textId="77777777" w:rsidR="00065EE7" w:rsidRDefault="00065EE7">
      <w:pPr>
        <w:spacing w:before="240" w:after="2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065EE7" w14:paraId="6EECB7A3" w14:textId="77777777">
        <w:tc>
          <w:tcPr>
            <w:tcW w:w="4560" w:type="dxa"/>
            <w:tcBorders>
              <w:top w:val="none" w:sz="0" w:space="0" w:color="FFFFFF"/>
              <w:left w:val="none" w:sz="0" w:space="0" w:color="FFFFFF"/>
              <w:bottom w:val="none" w:sz="0" w:space="0" w:color="FFFFFF"/>
              <w:right w:val="none" w:sz="0" w:space="0" w:color="FFFFFF"/>
            </w:tcBorders>
            <w:tcMar>
              <w:top w:w="0" w:type="dxa"/>
              <w:left w:w="0" w:type="dxa"/>
              <w:bottom w:w="0" w:type="dxa"/>
              <w:right w:w="160" w:type="dxa"/>
            </w:tcMar>
          </w:tcPr>
          <w:p w14:paraId="4FB6045E" w14:textId="77777777" w:rsidR="00065EE7" w:rsidRDefault="000B0521">
            <w:pPr>
              <w:pBdr>
                <w:bottom w:val="single" w:sz="6" w:space="1" w:color="2E75B6"/>
              </w:pBdr>
              <w:spacing w:before="280" w:after="100"/>
            </w:pPr>
            <w:r>
              <w:rPr>
                <w:b/>
                <w:bCs/>
                <w:color w:val="1F3864"/>
                <w:sz w:val="26"/>
                <w:szCs w:val="26"/>
              </w:rPr>
              <w:t>1. INTRODUCTION</w:t>
            </w:r>
          </w:p>
          <w:p w14:paraId="14D26497" w14:textId="77777777" w:rsidR="00065EE7" w:rsidRDefault="000B0521">
            <w:pPr>
              <w:spacing w:before="60" w:after="60" w:line="276" w:lineRule="auto"/>
              <w:jc w:val="both"/>
            </w:pPr>
            <w:r>
              <w:t xml:space="preserve">The confectionery distribution sector operates under conditions of high transactional volume, tight service-level commitments, and geographically dispersed supply chain nodes. </w:t>
            </w:r>
            <w:r>
              <w:lastRenderedPageBreak/>
              <w:t>For Nassau Candy Distributor—a national leader in specialty confections—the challenge of maintaining delivery consistency across a multi-factory, multi-region network is both operationally critical and analytically complex.</w:t>
            </w:r>
          </w:p>
          <w:p w14:paraId="6669B18C" w14:textId="77777777" w:rsidR="00065EE7" w:rsidRDefault="00065EE7">
            <w:pPr>
              <w:spacing w:before="80" w:after="80"/>
            </w:pPr>
          </w:p>
          <w:p w14:paraId="7FCD26A4" w14:textId="77777777" w:rsidR="00065EE7" w:rsidRDefault="000B0521">
            <w:pPr>
              <w:spacing w:before="60" w:after="60" w:line="276" w:lineRule="auto"/>
              <w:jc w:val="both"/>
            </w:pPr>
            <w:r>
              <w:t>Five manufacturing facilities, spanning Arizona to Minnesota, each supply distinct product divisions to a customer base distributed across all major US regions. As shipment volumes grow, the compounding effects of geographic distance, carrier variability, and seasonal demand patterns introduce systemic lead time volatility that conventional reporting fails to detect.</w:t>
            </w:r>
          </w:p>
          <w:p w14:paraId="7C505929" w14:textId="77777777" w:rsidR="00065EE7" w:rsidRDefault="00065EE7">
            <w:pPr>
              <w:spacing w:before="80" w:after="80"/>
            </w:pPr>
          </w:p>
          <w:p w14:paraId="31797634" w14:textId="77777777" w:rsidR="00065EE7" w:rsidRDefault="000B0521">
            <w:pPr>
              <w:spacing w:before="60" w:after="60" w:line="276" w:lineRule="auto"/>
              <w:jc w:val="both"/>
            </w:pPr>
            <w:r>
              <w:t>This study introduces a data-driven intelligence framework designed to transform 10,194 raw shipment records into high-resolution operational insights. The framework directly addresses three organizational deficiencies: (1) absence of factory-to-customer route performance visibility, (2) lack of geographic bottleneck quantification, and (3) unvalidated ship mode cost-time trade-offs.</w:t>
            </w:r>
          </w:p>
          <w:p w14:paraId="1BB8698E" w14:textId="77777777" w:rsidR="00065EE7" w:rsidRDefault="00065EE7">
            <w:pPr>
              <w:spacing w:before="160" w:after="160"/>
            </w:pPr>
          </w:p>
          <w:p w14:paraId="0CB63D10" w14:textId="77777777" w:rsidR="00065EE7" w:rsidRDefault="000B0521">
            <w:pPr>
              <w:pBdr>
                <w:bottom w:val="single" w:sz="6" w:space="1" w:color="2E75B6"/>
              </w:pBdr>
              <w:spacing w:before="280" w:after="100"/>
            </w:pPr>
            <w:r>
              <w:rPr>
                <w:b/>
                <w:bCs/>
                <w:color w:val="1F3864"/>
                <w:sz w:val="26"/>
                <w:szCs w:val="26"/>
              </w:rPr>
              <w:t>2. PROBLEM STATEMENT</w:t>
            </w:r>
          </w:p>
          <w:p w14:paraId="4651456F" w14:textId="77777777" w:rsidR="00065EE7" w:rsidRDefault="000B0521">
            <w:pPr>
              <w:spacing w:before="180" w:after="60"/>
            </w:pPr>
            <w:r>
              <w:rPr>
                <w:b/>
                <w:bCs/>
                <w:i/>
                <w:iCs/>
                <w:color w:val="2E75B6"/>
                <w:sz w:val="23"/>
                <w:szCs w:val="23"/>
              </w:rPr>
              <w:t>2.1 Route Performance Visibility</w:t>
            </w:r>
          </w:p>
          <w:p w14:paraId="36E19D20" w14:textId="77777777" w:rsidR="00065EE7" w:rsidRDefault="000B0521">
            <w:pPr>
              <w:spacing w:before="60" w:after="60" w:line="276" w:lineRule="auto"/>
              <w:jc w:val="both"/>
            </w:pPr>
            <w:r>
              <w:t>Nassau Candy Distributor currently lacks a centralized benchmarking system for factory-to-customer routes. Without route-level performance metrics, chronically underperforming corridors persist undetected, allowing preventable delays to accumulate and erode service quality over time.</w:t>
            </w:r>
          </w:p>
          <w:p w14:paraId="08559A63" w14:textId="77777777" w:rsidR="00065EE7" w:rsidRDefault="00065EE7">
            <w:pPr>
              <w:spacing w:before="80" w:after="80"/>
            </w:pPr>
          </w:p>
          <w:p w14:paraId="57107F90" w14:textId="77777777" w:rsidR="00065EE7" w:rsidRDefault="000B0521">
            <w:pPr>
              <w:spacing w:before="180" w:after="60"/>
            </w:pPr>
            <w:r>
              <w:rPr>
                <w:b/>
                <w:bCs/>
                <w:i/>
                <w:iCs/>
                <w:color w:val="2E75B6"/>
                <w:sz w:val="23"/>
                <w:szCs w:val="23"/>
              </w:rPr>
              <w:t>2.2 Geographic Bottleneck Detection</w:t>
            </w:r>
          </w:p>
          <w:p w14:paraId="2EFA889C" w14:textId="77777777" w:rsidR="00065EE7" w:rsidRDefault="000B0521">
            <w:pPr>
              <w:spacing w:before="60" w:after="60" w:line="276" w:lineRule="auto"/>
              <w:jc w:val="both"/>
            </w:pPr>
            <w:r>
              <w:t xml:space="preserve">The absence of spatial analytics prevents the organization from distinguishing factory-origin delays from destination-side congestion. This creates compounded “pile-up” effects in certain regions, where multiple delay sources combine </w:t>
            </w:r>
            <w:r>
              <w:lastRenderedPageBreak/>
              <w:t>to produce lead times that are significantly above network averages.</w:t>
            </w:r>
          </w:p>
          <w:p w14:paraId="5C57A595" w14:textId="77777777" w:rsidR="00065EE7" w:rsidRDefault="00065EE7">
            <w:pPr>
              <w:spacing w:before="80" w:after="80"/>
            </w:pPr>
          </w:p>
          <w:p w14:paraId="297827F6" w14:textId="77777777" w:rsidR="00065EE7" w:rsidRDefault="000B0521">
            <w:pPr>
              <w:spacing w:before="180" w:after="60"/>
            </w:pPr>
            <w:r>
              <w:rPr>
                <w:b/>
                <w:bCs/>
                <w:i/>
                <w:iCs/>
                <w:color w:val="2E75B6"/>
                <w:sz w:val="23"/>
                <w:szCs w:val="23"/>
              </w:rPr>
              <w:t>2.3 Ship Mode Cost-Time Intelligence</w:t>
            </w:r>
          </w:p>
          <w:p w14:paraId="01A1D240" w14:textId="77777777" w:rsidR="00065EE7" w:rsidRDefault="000B0521">
            <w:pPr>
              <w:spacing w:before="60" w:after="60" w:line="276" w:lineRule="auto"/>
              <w:jc w:val="both"/>
            </w:pPr>
            <w:r>
              <w:t>No quantified validation exists for the cost-time trade-off between Standard Class and expedited shipping modes. As a result, premium services are frequently purchased on routes where geographic constraints neutralize their speed advantage, representing a measurable waste of logistics expenditure.</w:t>
            </w:r>
          </w:p>
          <w:p w14:paraId="380B9879" w14:textId="77777777" w:rsidR="00065EE7" w:rsidRDefault="00065EE7">
            <w:pPr>
              <w:spacing w:before="80" w:after="80"/>
            </w:pPr>
          </w:p>
          <w:p w14:paraId="2FE52EC7" w14:textId="77777777" w:rsidR="00065EE7" w:rsidRDefault="000B0521">
            <w:pPr>
              <w:spacing w:before="180" w:after="60"/>
            </w:pPr>
            <w:r>
              <w:rPr>
                <w:b/>
                <w:bCs/>
                <w:i/>
                <w:iCs/>
                <w:color w:val="2E75B6"/>
                <w:sz w:val="23"/>
                <w:szCs w:val="23"/>
              </w:rPr>
              <w:t>2.4 Business Impact</w:t>
            </w:r>
          </w:p>
          <w:p w14:paraId="06405EEA" w14:textId="77777777" w:rsidR="00065EE7" w:rsidRDefault="000B0521">
            <w:pPr>
              <w:spacing w:before="60" w:after="60" w:line="276" w:lineRule="auto"/>
              <w:jc w:val="both"/>
            </w:pPr>
            <w:r>
              <w:t>Together, these intelligence gaps generate unrecovered delay costs, eroded customer trust, and a structural inability to scale logistics operations without proportional increases in service failures. The absence of data-driven decision support transforms what should be manageable operational risks into systemic threats to revenue and brand reputation.</w:t>
            </w:r>
          </w:p>
        </w:tc>
        <w:tc>
          <w:tcPr>
            <w:tcW w:w="4560" w:type="dxa"/>
            <w:tcBorders>
              <w:top w:val="none" w:sz="0" w:space="0" w:color="FFFFFF"/>
              <w:left w:val="none" w:sz="0" w:space="0" w:color="FFFFFF"/>
              <w:bottom w:val="none" w:sz="0" w:space="0" w:color="FFFFFF"/>
              <w:right w:val="none" w:sz="0" w:space="0" w:color="FFFFFF"/>
            </w:tcBorders>
            <w:tcMar>
              <w:top w:w="0" w:type="dxa"/>
              <w:left w:w="160" w:type="dxa"/>
              <w:bottom w:w="0" w:type="dxa"/>
              <w:right w:w="0" w:type="dxa"/>
            </w:tcMar>
          </w:tcPr>
          <w:p w14:paraId="6E85E995" w14:textId="77777777" w:rsidR="00065EE7" w:rsidRDefault="000B0521">
            <w:pPr>
              <w:pBdr>
                <w:bottom w:val="single" w:sz="6" w:space="1" w:color="2E75B6"/>
              </w:pBdr>
              <w:spacing w:before="280" w:after="100"/>
            </w:pPr>
            <w:r>
              <w:rPr>
                <w:b/>
                <w:bCs/>
                <w:color w:val="1F3864"/>
                <w:sz w:val="26"/>
                <w:szCs w:val="26"/>
              </w:rPr>
              <w:lastRenderedPageBreak/>
              <w:t>3. DATASET OVERVIEW</w:t>
            </w:r>
          </w:p>
          <w:p w14:paraId="225EEA46" w14:textId="77777777" w:rsidR="00065EE7" w:rsidRDefault="000B0521">
            <w:pPr>
              <w:spacing w:before="60" w:after="60" w:line="276" w:lineRule="auto"/>
              <w:jc w:val="both"/>
            </w:pPr>
            <w:r>
              <w:t xml:space="preserve">The analytical foundation is the “Nassau Candy Distributor.csv” dataset—a comprehensive transactional record spanning the full order-to-delivery lifecycle with 18 distinct data fields and </w:t>
            </w:r>
            <w:r>
              <w:lastRenderedPageBreak/>
              <w:t>10,194 shipment records. The dataset covers the period from January 2024 to December 2025 and encompasses all five manufacturing facilities and four customer regions.</w:t>
            </w:r>
          </w:p>
          <w:p w14:paraId="2E4E3DB2" w14:textId="77777777" w:rsidR="00065EE7" w:rsidRDefault="00065EE7">
            <w:pPr>
              <w:spacing w:before="80" w:after="80"/>
            </w:pPr>
          </w:p>
          <w:p w14:paraId="0AA1AD55" w14:textId="77777777" w:rsidR="00065EE7" w:rsidRDefault="000B0521">
            <w:pPr>
              <w:spacing w:before="60" w:after="60" w:line="276" w:lineRule="auto"/>
              <w:jc w:val="both"/>
            </w:pPr>
            <w:r>
              <w:t xml:space="preserve">Critical engineered features developed during </w:t>
            </w:r>
            <w:proofErr w:type="spellStart"/>
            <w:r>
              <w:t>preprocessing</w:t>
            </w:r>
            <w:proofErr w:type="spellEnd"/>
            <w:r>
              <w:t xml:space="preserve"> include:</w:t>
            </w:r>
          </w:p>
          <w:p w14:paraId="77835D48" w14:textId="77777777" w:rsidR="00065EE7" w:rsidRDefault="000B0521">
            <w:pPr>
              <w:pStyle w:val="ListParagraph"/>
              <w:numPr>
                <w:ilvl w:val="0"/>
                <w:numId w:val="2"/>
              </w:numPr>
              <w:spacing w:before="40" w:after="40"/>
            </w:pPr>
            <w:r>
              <w:t>Shipping Lead Time: Ship Date − Order Date (days), serving as the primary efficiency metric for all route benchmarking.</w:t>
            </w:r>
          </w:p>
          <w:p w14:paraId="059E9755" w14:textId="77777777" w:rsidR="00065EE7" w:rsidRDefault="000B0521">
            <w:pPr>
              <w:pStyle w:val="ListParagraph"/>
              <w:numPr>
                <w:ilvl w:val="0"/>
                <w:numId w:val="2"/>
              </w:numPr>
              <w:spacing w:before="40" w:after="40"/>
            </w:pPr>
            <w:r>
              <w:t>Factory Route Identifier: Composite key (Factory Name + Customer State) enabling granular factory-to-customer route analysis.</w:t>
            </w:r>
          </w:p>
          <w:p w14:paraId="30205B3E" w14:textId="77777777" w:rsidR="00065EE7" w:rsidRDefault="000B0521">
            <w:pPr>
              <w:pStyle w:val="ListParagraph"/>
              <w:numPr>
                <w:ilvl w:val="0"/>
                <w:numId w:val="2"/>
              </w:numPr>
              <w:spacing w:before="40" w:after="40"/>
            </w:pPr>
            <w:r>
              <w:t>Region Route: Factory + Customer Region aggregation for strategic-level bottleneck identification.</w:t>
            </w:r>
          </w:p>
          <w:p w14:paraId="64591850" w14:textId="77777777" w:rsidR="00065EE7" w:rsidRDefault="000B0521">
            <w:pPr>
              <w:pStyle w:val="ListParagraph"/>
              <w:numPr>
                <w:ilvl w:val="0"/>
                <w:numId w:val="2"/>
              </w:numPr>
              <w:spacing w:before="40" w:after="40"/>
            </w:pPr>
            <w:r>
              <w:t>Delay Flag: Boolean indicator for shipments exceeding the statistically-derived reliability threshold (median + 0.5 × standard deviation).</w:t>
            </w:r>
          </w:p>
          <w:p w14:paraId="49069725" w14:textId="77777777" w:rsidR="00065EE7" w:rsidRDefault="000B0521">
            <w:pPr>
              <w:pStyle w:val="ListParagraph"/>
              <w:numPr>
                <w:ilvl w:val="0"/>
                <w:numId w:val="2"/>
              </w:numPr>
              <w:spacing w:before="40" w:after="40"/>
            </w:pPr>
            <w:r>
              <w:t>Profit Margin: Gross Profit / Sales × 100, supporting financial impact analysis of route inefficiencies.</w:t>
            </w:r>
          </w:p>
          <w:p w14:paraId="1CE1375E" w14:textId="77777777" w:rsidR="00065EE7" w:rsidRDefault="00065EE7">
            <w:pPr>
              <w:spacing w:before="160" w:after="160"/>
            </w:pPr>
          </w:p>
          <w:p w14:paraId="0715CB39" w14:textId="77777777" w:rsidR="00065EE7" w:rsidRDefault="000B0521">
            <w:pPr>
              <w:pBdr>
                <w:bottom w:val="single" w:sz="6" w:space="1" w:color="2E75B6"/>
              </w:pBdr>
              <w:spacing w:before="280" w:after="100"/>
            </w:pPr>
            <w:r>
              <w:rPr>
                <w:b/>
                <w:bCs/>
                <w:color w:val="1F3864"/>
                <w:sz w:val="26"/>
                <w:szCs w:val="26"/>
              </w:rPr>
              <w:t>4. ANALYTICAL METHODOLOGY</w:t>
            </w:r>
          </w:p>
          <w:p w14:paraId="6A21F46A" w14:textId="77777777" w:rsidR="00065EE7" w:rsidRDefault="000B0521">
            <w:pPr>
              <w:spacing w:before="60" w:after="60" w:line="276" w:lineRule="auto"/>
              <w:jc w:val="both"/>
            </w:pPr>
            <w:r>
              <w:t>The analytical pipeline was engineered as a modular, seven-stage framework in which each stage produces an auditable output file consumed by subsequent stages. This architecture enforces data provenance, ensures reproducibility, and allows individual modules to be updated without re-executing the full pipeline.</w:t>
            </w:r>
          </w:p>
          <w:p w14:paraId="33AA74E1" w14:textId="77777777" w:rsidR="00065EE7" w:rsidRDefault="00065EE7">
            <w:pPr>
              <w:spacing w:before="80" w:after="80"/>
            </w:pPr>
          </w:p>
          <w:p w14:paraId="2D52A492" w14:textId="77777777" w:rsidR="00065EE7" w:rsidRDefault="000B0521">
            <w:pPr>
              <w:spacing w:before="60" w:after="60" w:line="276" w:lineRule="auto"/>
              <w:jc w:val="both"/>
            </w:pPr>
            <w:r>
              <w:t xml:space="preserve">Stage 1 (Data Cleaning) standardizes date formats, removes records with invalid or negative lead times, validates geographic field consistency, and establishes the clean dataset foundation. Stage 2 (Route Efficiency) aggregates shipment-level records into route-level performance metrics, computes normalized Efficiency Scores, and generates route performance rankings. Stages 3 through 6 progressively build geographic bottleneck </w:t>
            </w:r>
            <w:r>
              <w:lastRenderedPageBreak/>
              <w:t>analysis, ship mode performance differentials, delay pattern isolation, and consolidated KPI frameworks.</w:t>
            </w:r>
          </w:p>
          <w:p w14:paraId="56803DCB" w14:textId="77777777" w:rsidR="00065EE7" w:rsidRDefault="00065EE7">
            <w:pPr>
              <w:spacing w:before="160" w:after="160"/>
            </w:pPr>
          </w:p>
          <w:p w14:paraId="10CF7CE6" w14:textId="77777777" w:rsidR="00065EE7" w:rsidRDefault="000B0521">
            <w:pPr>
              <w:pBdr>
                <w:bottom w:val="single" w:sz="6" w:space="1" w:color="2E75B6"/>
              </w:pBdr>
              <w:spacing w:before="280" w:after="100"/>
            </w:pPr>
            <w:r>
              <w:rPr>
                <w:b/>
                <w:bCs/>
                <w:color w:val="1F3864"/>
                <w:sz w:val="26"/>
                <w:szCs w:val="26"/>
              </w:rPr>
              <w:t>5. KPI FRAMEWORK</w:t>
            </w:r>
          </w:p>
          <w:p w14:paraId="02F74978" w14:textId="77777777" w:rsidR="00065EE7" w:rsidRDefault="000B0521">
            <w:pPr>
              <w:spacing w:before="60" w:after="60" w:line="276" w:lineRule="auto"/>
              <w:jc w:val="both"/>
            </w:pPr>
            <w:r>
              <w:t>Five core Key Performance Indicators form the measurement backbone of this study. The Efficiency Score—a composite metric normalized to a 0–100 scale—serves as the primary strategic instrument, enabling objective comparison across routes of varying distances and volumes. This normalization eliminates the inherent bias present in raw lead time comparisons, where geographically distant routes are penalized regardless of operational performance.</w:t>
            </w:r>
          </w:p>
          <w:p w14:paraId="63CA1FC3" w14:textId="77777777" w:rsidR="00065EE7" w:rsidRDefault="00065EE7">
            <w:pPr>
              <w:spacing w:before="80" w:after="80"/>
            </w:pPr>
          </w:p>
          <w:p w14:paraId="5C316B42" w14:textId="77777777" w:rsidR="00065EE7" w:rsidRDefault="000B0521">
            <w:pPr>
              <w:spacing w:before="60" w:after="60" w:line="276" w:lineRule="auto"/>
              <w:jc w:val="both"/>
            </w:pPr>
            <w:r>
              <w:t>The Delay Frequency KPI is defined using a statistically-derived threshold rather than an arbitrary fixed value, ensuring that the definition of “delayed” adapts to the operational characteristics of each shipping mode and route corridor.</w:t>
            </w:r>
          </w:p>
        </w:tc>
      </w:tr>
    </w:tbl>
    <w:p w14:paraId="0A4DE14D" w14:textId="77777777" w:rsidR="00065EE7" w:rsidRDefault="00065EE7">
      <w:pPr>
        <w:spacing w:before="200" w:after="200"/>
      </w:pPr>
    </w:p>
    <w:p w14:paraId="68C90ED4" w14:textId="77777777" w:rsidR="00065EE7" w:rsidRDefault="000B0521">
      <w:pPr>
        <w:spacing w:before="120" w:after="60"/>
      </w:pPr>
      <w:r>
        <w:rPr>
          <w:b/>
          <w:bCs/>
          <w:color w:val="1F3864"/>
        </w:rPr>
        <w:t>TABLE 1: Seven-Stage Analytical Pipeline Architecture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2600"/>
        <w:gridCol w:w="5960"/>
      </w:tblGrid>
      <w:tr w:rsidR="00065EE7" w14:paraId="63F1DFF3" w14:textId="77777777">
        <w:tc>
          <w:tcPr>
            <w:tcW w:w="800" w:type="dxa"/>
            <w:tcBorders>
              <w:top w:val="single" w:sz="4" w:space="0" w:color="1F3864"/>
              <w:left w:val="single" w:sz="1" w:space="0" w:color="CCCCCC"/>
              <w:bottom w:val="single" w:sz="4" w:space="0" w:color="1F3864"/>
              <w:right w:val="single" w:sz="1" w:space="0" w:color="CCCCCC"/>
            </w:tcBorders>
            <w:shd w:val="clear" w:color="auto" w:fill="1F3864"/>
            <w:tcMar>
              <w:top w:w="80" w:type="dxa"/>
              <w:left w:w="120" w:type="dxa"/>
              <w:bottom w:w="80" w:type="dxa"/>
              <w:right w:w="120" w:type="dxa"/>
            </w:tcMar>
            <w:vAlign w:val="center"/>
          </w:tcPr>
          <w:p w14:paraId="044ABC47" w14:textId="77777777" w:rsidR="00065EE7" w:rsidRDefault="000B0521">
            <w:r>
              <w:rPr>
                <w:b/>
                <w:bCs/>
                <w:color w:val="FFFFFF"/>
                <w:sz w:val="20"/>
                <w:szCs w:val="20"/>
              </w:rPr>
              <w:t>Stage</w:t>
            </w:r>
          </w:p>
        </w:tc>
        <w:tc>
          <w:tcPr>
            <w:tcW w:w="2600" w:type="dxa"/>
            <w:tcBorders>
              <w:top w:val="single" w:sz="4" w:space="0" w:color="1F3864"/>
              <w:left w:val="single" w:sz="1" w:space="0" w:color="CCCCCC"/>
              <w:bottom w:val="single" w:sz="4" w:space="0" w:color="1F3864"/>
              <w:right w:val="single" w:sz="1" w:space="0" w:color="CCCCCC"/>
            </w:tcBorders>
            <w:shd w:val="clear" w:color="auto" w:fill="1F3864"/>
            <w:tcMar>
              <w:top w:w="80" w:type="dxa"/>
              <w:left w:w="120" w:type="dxa"/>
              <w:bottom w:w="80" w:type="dxa"/>
              <w:right w:w="120" w:type="dxa"/>
            </w:tcMar>
            <w:vAlign w:val="center"/>
          </w:tcPr>
          <w:p w14:paraId="42259A6D" w14:textId="77777777" w:rsidR="00065EE7" w:rsidRDefault="000B0521">
            <w:r>
              <w:rPr>
                <w:b/>
                <w:bCs/>
                <w:color w:val="FFFFFF"/>
                <w:sz w:val="20"/>
                <w:szCs w:val="20"/>
              </w:rPr>
              <w:t>Module</w:t>
            </w:r>
          </w:p>
        </w:tc>
        <w:tc>
          <w:tcPr>
            <w:tcW w:w="5960" w:type="dxa"/>
            <w:tcBorders>
              <w:top w:val="single" w:sz="4" w:space="0" w:color="1F3864"/>
              <w:left w:val="single" w:sz="1" w:space="0" w:color="CCCCCC"/>
              <w:bottom w:val="single" w:sz="4" w:space="0" w:color="1F3864"/>
              <w:right w:val="single" w:sz="1" w:space="0" w:color="CCCCCC"/>
            </w:tcBorders>
            <w:shd w:val="clear" w:color="auto" w:fill="1F3864"/>
            <w:tcMar>
              <w:top w:w="80" w:type="dxa"/>
              <w:left w:w="120" w:type="dxa"/>
              <w:bottom w:w="80" w:type="dxa"/>
              <w:right w:w="120" w:type="dxa"/>
            </w:tcMar>
            <w:vAlign w:val="center"/>
          </w:tcPr>
          <w:p w14:paraId="37A22F00" w14:textId="77777777" w:rsidR="00065EE7" w:rsidRDefault="000B0521">
            <w:r>
              <w:rPr>
                <w:b/>
                <w:bCs/>
                <w:color w:val="FFFFFF"/>
                <w:sz w:val="20"/>
                <w:szCs w:val="20"/>
              </w:rPr>
              <w:t>Description &amp; Primary Output</w:t>
            </w:r>
          </w:p>
        </w:tc>
      </w:tr>
      <w:tr w:rsidR="00065EE7" w14:paraId="497077C2" w14:textId="77777777">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1295C05" w14:textId="77777777" w:rsidR="00065EE7" w:rsidRDefault="000B0521">
            <w:r>
              <w:rPr>
                <w:color w:val="000000"/>
                <w:sz w:val="20"/>
                <w:szCs w:val="20"/>
              </w:rPr>
              <w:t>NB-01</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ABC177D" w14:textId="77777777" w:rsidR="00065EE7" w:rsidRDefault="000B0521">
            <w:r>
              <w:rPr>
                <w:b/>
                <w:bCs/>
                <w:color w:val="000000"/>
                <w:sz w:val="20"/>
                <w:szCs w:val="20"/>
              </w:rPr>
              <w:t>Data Cleaning &amp; Validation</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CDDF0EC" w14:textId="77777777" w:rsidR="00065EE7" w:rsidRDefault="000B0521">
            <w:r>
              <w:rPr>
                <w:color w:val="000000"/>
                <w:sz w:val="20"/>
                <w:szCs w:val="20"/>
              </w:rPr>
              <w:t>Standardize date formats, remove negative lead times, validate geographic fields → clean_shipping_data.csv</w:t>
            </w:r>
          </w:p>
        </w:tc>
      </w:tr>
      <w:tr w:rsidR="00065EE7" w14:paraId="6A5D9A48" w14:textId="77777777">
        <w:tc>
          <w:tcPr>
            <w:tcW w:w="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AAF2823" w14:textId="77777777" w:rsidR="00065EE7" w:rsidRDefault="000B0521">
            <w:r>
              <w:rPr>
                <w:color w:val="000000"/>
                <w:sz w:val="20"/>
                <w:szCs w:val="20"/>
              </w:rPr>
              <w:t>NB-02</w:t>
            </w:r>
          </w:p>
        </w:tc>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CA3BEAD" w14:textId="77777777" w:rsidR="00065EE7" w:rsidRDefault="000B0521">
            <w:r>
              <w:rPr>
                <w:b/>
                <w:bCs/>
                <w:color w:val="000000"/>
                <w:sz w:val="20"/>
                <w:szCs w:val="20"/>
              </w:rPr>
              <w:t>Route Efficiency Analysis</w:t>
            </w:r>
          </w:p>
        </w:tc>
        <w:tc>
          <w:tcPr>
            <w:tcW w:w="5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0D6C559" w14:textId="77777777" w:rsidR="00065EE7" w:rsidRDefault="000B0521">
            <w:r>
              <w:rPr>
                <w:color w:val="000000"/>
                <w:sz w:val="20"/>
                <w:szCs w:val="20"/>
              </w:rPr>
              <w:t xml:space="preserve">Aggregate route metrics, compute Efficiency Scores, generate performance </w:t>
            </w:r>
            <w:proofErr w:type="spellStart"/>
            <w:r>
              <w:rPr>
                <w:color w:val="000000"/>
                <w:sz w:val="20"/>
                <w:szCs w:val="20"/>
              </w:rPr>
              <w:t>leaderboard</w:t>
            </w:r>
            <w:proofErr w:type="spellEnd"/>
            <w:r>
              <w:rPr>
                <w:color w:val="000000"/>
                <w:sz w:val="20"/>
                <w:szCs w:val="20"/>
              </w:rPr>
              <w:t xml:space="preserve"> → route_efficiency_data.csv</w:t>
            </w:r>
          </w:p>
        </w:tc>
      </w:tr>
      <w:tr w:rsidR="00065EE7" w14:paraId="1B031730" w14:textId="77777777">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3F4A9C7" w14:textId="77777777" w:rsidR="00065EE7" w:rsidRDefault="000B0521">
            <w:r>
              <w:rPr>
                <w:color w:val="000000"/>
                <w:sz w:val="20"/>
                <w:szCs w:val="20"/>
              </w:rPr>
              <w:t>NB-03</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C22072A" w14:textId="77777777" w:rsidR="00065EE7" w:rsidRDefault="000B0521">
            <w:r>
              <w:rPr>
                <w:b/>
                <w:bCs/>
                <w:color w:val="000000"/>
                <w:sz w:val="20"/>
                <w:szCs w:val="20"/>
              </w:rPr>
              <w:t>Geographic Bottleneck Analysis</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079C839" w14:textId="77777777" w:rsidR="00065EE7" w:rsidRDefault="000B0521">
            <w:r>
              <w:rPr>
                <w:color w:val="000000"/>
                <w:sz w:val="20"/>
                <w:szCs w:val="20"/>
              </w:rPr>
              <w:t>Spatial risk scoring, Factory × Region heatmap, bottleneck state identification → geographic_bottleneck_analysis.csv</w:t>
            </w:r>
          </w:p>
        </w:tc>
      </w:tr>
      <w:tr w:rsidR="00065EE7" w14:paraId="0C955765" w14:textId="77777777">
        <w:tc>
          <w:tcPr>
            <w:tcW w:w="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09D562A" w14:textId="77777777" w:rsidR="00065EE7" w:rsidRDefault="000B0521">
            <w:r>
              <w:rPr>
                <w:color w:val="000000"/>
                <w:sz w:val="20"/>
                <w:szCs w:val="20"/>
              </w:rPr>
              <w:t>NB-04</w:t>
            </w:r>
          </w:p>
        </w:tc>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EFF7F46" w14:textId="77777777" w:rsidR="00065EE7" w:rsidRDefault="000B0521">
            <w:r>
              <w:rPr>
                <w:b/>
                <w:bCs/>
                <w:color w:val="000000"/>
                <w:sz w:val="20"/>
                <w:szCs w:val="20"/>
              </w:rPr>
              <w:t>Ship Mode Performance Analysis</w:t>
            </w:r>
          </w:p>
        </w:tc>
        <w:tc>
          <w:tcPr>
            <w:tcW w:w="5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AC25720" w14:textId="77777777" w:rsidR="00065EE7" w:rsidRDefault="000B0521">
            <w:r>
              <w:rPr>
                <w:color w:val="000000"/>
                <w:sz w:val="20"/>
                <w:szCs w:val="20"/>
              </w:rPr>
              <w:t>Standard vs. Expedited lead time differentials, cost-time trade-off evaluation → ship_mode_performance.csv</w:t>
            </w:r>
          </w:p>
        </w:tc>
      </w:tr>
      <w:tr w:rsidR="00065EE7" w14:paraId="550B8FF7" w14:textId="77777777">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8467F67" w14:textId="77777777" w:rsidR="00065EE7" w:rsidRDefault="000B0521">
            <w:r>
              <w:rPr>
                <w:color w:val="000000"/>
                <w:sz w:val="20"/>
                <w:szCs w:val="20"/>
              </w:rPr>
              <w:t>NB-05</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39277B9" w14:textId="77777777" w:rsidR="00065EE7" w:rsidRDefault="000B0521">
            <w:r>
              <w:rPr>
                <w:b/>
                <w:bCs/>
                <w:color w:val="000000"/>
                <w:sz w:val="20"/>
                <w:szCs w:val="20"/>
              </w:rPr>
              <w:t>Delay Pattern Analysis</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507BDDD" w14:textId="77777777" w:rsidR="00065EE7" w:rsidRDefault="000B0521">
            <w:r>
              <w:rPr>
                <w:color w:val="000000"/>
                <w:sz w:val="20"/>
                <w:szCs w:val="20"/>
              </w:rPr>
              <w:t>Statistical delay threshold derivation, non-random delay cluster identification → shipping_delay_patterns.csv</w:t>
            </w:r>
          </w:p>
        </w:tc>
      </w:tr>
      <w:tr w:rsidR="00065EE7" w14:paraId="02C61254" w14:textId="77777777">
        <w:tc>
          <w:tcPr>
            <w:tcW w:w="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79ED7EA" w14:textId="77777777" w:rsidR="00065EE7" w:rsidRDefault="000B0521">
            <w:r>
              <w:rPr>
                <w:color w:val="000000"/>
                <w:sz w:val="20"/>
                <w:szCs w:val="20"/>
              </w:rPr>
              <w:t>NB-06</w:t>
            </w:r>
          </w:p>
        </w:tc>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3CDF609" w14:textId="77777777" w:rsidR="00065EE7" w:rsidRDefault="000B0521">
            <w:r>
              <w:rPr>
                <w:b/>
                <w:bCs/>
                <w:color w:val="000000"/>
                <w:sz w:val="20"/>
                <w:szCs w:val="20"/>
              </w:rPr>
              <w:t>Logistics KPI Consolidation</w:t>
            </w:r>
          </w:p>
        </w:tc>
        <w:tc>
          <w:tcPr>
            <w:tcW w:w="5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F64A2CA" w14:textId="77777777" w:rsidR="00065EE7" w:rsidRDefault="000B0521">
            <w:r>
              <w:rPr>
                <w:color w:val="000000"/>
                <w:sz w:val="20"/>
                <w:szCs w:val="20"/>
              </w:rPr>
              <w:t>Unified multi-dimensional benchmarking framework, executive KPI dataset → logistics_kpi_dataset.csv</w:t>
            </w:r>
          </w:p>
        </w:tc>
      </w:tr>
      <w:tr w:rsidR="00065EE7" w14:paraId="5D5F4690" w14:textId="77777777">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3B9C635" w14:textId="77777777" w:rsidR="00065EE7" w:rsidRDefault="000B0521">
            <w:r>
              <w:rPr>
                <w:color w:val="000000"/>
                <w:sz w:val="20"/>
                <w:szCs w:val="20"/>
              </w:rPr>
              <w:t>NB-07</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8F5A0BF" w14:textId="77777777" w:rsidR="00065EE7" w:rsidRDefault="000B0521">
            <w:r>
              <w:rPr>
                <w:b/>
                <w:bCs/>
                <w:color w:val="000000"/>
                <w:sz w:val="20"/>
                <w:szCs w:val="20"/>
              </w:rPr>
              <w:t>Business Summary Report</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224806A" w14:textId="77777777" w:rsidR="00065EE7" w:rsidRDefault="000B0521">
            <w:r>
              <w:rPr>
                <w:color w:val="000000"/>
                <w:sz w:val="20"/>
                <w:szCs w:val="20"/>
              </w:rPr>
              <w:t>Executive-level synthesis of findings, recommendations, and strategic roadmap</w:t>
            </w:r>
          </w:p>
        </w:tc>
      </w:tr>
    </w:tbl>
    <w:p w14:paraId="2B22F661" w14:textId="77777777" w:rsidR="00065EE7" w:rsidRDefault="00065EE7">
      <w:pPr>
        <w:spacing w:before="160" w:after="160"/>
      </w:pPr>
    </w:p>
    <w:p w14:paraId="7752A893" w14:textId="77777777" w:rsidR="00065EE7" w:rsidRDefault="000B0521">
      <w:pPr>
        <w:spacing w:before="120" w:after="60"/>
      </w:pPr>
      <w:r>
        <w:rPr>
          <w:b/>
          <w:bCs/>
          <w:color w:val="1F3864"/>
        </w:rPr>
        <w:lastRenderedPageBreak/>
        <w:t>TABLE 2: Logistics KPI Framework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3200"/>
        <w:gridCol w:w="3360"/>
      </w:tblGrid>
      <w:tr w:rsidR="00065EE7" w14:paraId="59E64C41" w14:textId="77777777">
        <w:tc>
          <w:tcPr>
            <w:tcW w:w="2800" w:type="dxa"/>
            <w:tcBorders>
              <w:top w:val="single" w:sz="4" w:space="0" w:color="1F3864"/>
              <w:left w:val="single" w:sz="1" w:space="0" w:color="CCCCCC"/>
              <w:bottom w:val="single" w:sz="4" w:space="0" w:color="1F3864"/>
              <w:right w:val="single" w:sz="1" w:space="0" w:color="CCCCCC"/>
            </w:tcBorders>
            <w:shd w:val="clear" w:color="auto" w:fill="1F3864"/>
            <w:tcMar>
              <w:top w:w="80" w:type="dxa"/>
              <w:left w:w="120" w:type="dxa"/>
              <w:bottom w:w="80" w:type="dxa"/>
              <w:right w:w="120" w:type="dxa"/>
            </w:tcMar>
            <w:vAlign w:val="center"/>
          </w:tcPr>
          <w:p w14:paraId="3919F83A" w14:textId="77777777" w:rsidR="00065EE7" w:rsidRDefault="000B0521">
            <w:r>
              <w:rPr>
                <w:b/>
                <w:bCs/>
                <w:color w:val="FFFFFF"/>
                <w:sz w:val="20"/>
                <w:szCs w:val="20"/>
              </w:rPr>
              <w:t>KPI</w:t>
            </w:r>
          </w:p>
        </w:tc>
        <w:tc>
          <w:tcPr>
            <w:tcW w:w="3200" w:type="dxa"/>
            <w:tcBorders>
              <w:top w:val="single" w:sz="4" w:space="0" w:color="1F3864"/>
              <w:left w:val="single" w:sz="1" w:space="0" w:color="CCCCCC"/>
              <w:bottom w:val="single" w:sz="4" w:space="0" w:color="1F3864"/>
              <w:right w:val="single" w:sz="1" w:space="0" w:color="CCCCCC"/>
            </w:tcBorders>
            <w:shd w:val="clear" w:color="auto" w:fill="1F3864"/>
            <w:tcMar>
              <w:top w:w="80" w:type="dxa"/>
              <w:left w:w="120" w:type="dxa"/>
              <w:bottom w:w="80" w:type="dxa"/>
              <w:right w:w="120" w:type="dxa"/>
            </w:tcMar>
            <w:vAlign w:val="center"/>
          </w:tcPr>
          <w:p w14:paraId="3454A768" w14:textId="77777777" w:rsidR="00065EE7" w:rsidRDefault="000B0521">
            <w:r>
              <w:rPr>
                <w:b/>
                <w:bCs/>
                <w:color w:val="FFFFFF"/>
                <w:sz w:val="20"/>
                <w:szCs w:val="20"/>
              </w:rPr>
              <w:t>Formula / Definition</w:t>
            </w:r>
          </w:p>
        </w:tc>
        <w:tc>
          <w:tcPr>
            <w:tcW w:w="3360" w:type="dxa"/>
            <w:tcBorders>
              <w:top w:val="single" w:sz="4" w:space="0" w:color="1F3864"/>
              <w:left w:val="single" w:sz="1" w:space="0" w:color="CCCCCC"/>
              <w:bottom w:val="single" w:sz="4" w:space="0" w:color="1F3864"/>
              <w:right w:val="single" w:sz="1" w:space="0" w:color="CCCCCC"/>
            </w:tcBorders>
            <w:shd w:val="clear" w:color="auto" w:fill="1F3864"/>
            <w:tcMar>
              <w:top w:w="80" w:type="dxa"/>
              <w:left w:w="120" w:type="dxa"/>
              <w:bottom w:w="80" w:type="dxa"/>
              <w:right w:w="120" w:type="dxa"/>
            </w:tcMar>
            <w:vAlign w:val="center"/>
          </w:tcPr>
          <w:p w14:paraId="2EA70E8F" w14:textId="77777777" w:rsidR="00065EE7" w:rsidRDefault="000B0521">
            <w:r>
              <w:rPr>
                <w:b/>
                <w:bCs/>
                <w:color w:val="FFFFFF"/>
                <w:sz w:val="20"/>
                <w:szCs w:val="20"/>
              </w:rPr>
              <w:t>Business Significance</w:t>
            </w:r>
          </w:p>
        </w:tc>
      </w:tr>
      <w:tr w:rsidR="00065EE7" w14:paraId="34612A23"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3083E50" w14:textId="77777777" w:rsidR="00065EE7" w:rsidRDefault="000B0521">
            <w:r>
              <w:rPr>
                <w:b/>
                <w:bCs/>
                <w:color w:val="000000"/>
                <w:sz w:val="20"/>
                <w:szCs w:val="20"/>
              </w:rPr>
              <w:t>Shipping Lead Time</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E4B8810" w14:textId="77777777" w:rsidR="00065EE7" w:rsidRDefault="000B0521">
            <w:r>
              <w:rPr>
                <w:color w:val="000000"/>
                <w:sz w:val="20"/>
                <w:szCs w:val="20"/>
              </w:rPr>
              <w:t>Ship Date − Order Date (days)</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2AF912C" w14:textId="77777777" w:rsidR="00065EE7" w:rsidRDefault="000B0521">
            <w:r>
              <w:rPr>
                <w:color w:val="000000"/>
                <w:sz w:val="20"/>
                <w:szCs w:val="20"/>
              </w:rPr>
              <w:t>Primary operational efficiency metric for individual shipments</w:t>
            </w:r>
          </w:p>
        </w:tc>
      </w:tr>
      <w:tr w:rsidR="00065EE7" w14:paraId="6BC466AD"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E9A62CD" w14:textId="77777777" w:rsidR="00065EE7" w:rsidRDefault="000B0521">
            <w:r>
              <w:rPr>
                <w:b/>
                <w:bCs/>
                <w:color w:val="000000"/>
                <w:sz w:val="20"/>
                <w:szCs w:val="20"/>
              </w:rPr>
              <w:t>Average Lead Time</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3CCFD08" w14:textId="77777777" w:rsidR="00065EE7" w:rsidRDefault="000B0521">
            <w:r>
              <w:rPr>
                <w:color w:val="000000"/>
                <w:sz w:val="20"/>
                <w:szCs w:val="20"/>
              </w:rPr>
              <w:t xml:space="preserve">Arithmetic </w:t>
            </w:r>
            <w:proofErr w:type="gramStart"/>
            <w:r>
              <w:rPr>
                <w:color w:val="000000"/>
                <w:sz w:val="20"/>
                <w:szCs w:val="20"/>
              </w:rPr>
              <w:t>mean</w:t>
            </w:r>
            <w:proofErr w:type="gramEnd"/>
            <w:r>
              <w:rPr>
                <w:color w:val="000000"/>
                <w:sz w:val="20"/>
                <w:szCs w:val="20"/>
              </w:rPr>
              <w:t xml:space="preserve"> of lead times per route</w:t>
            </w:r>
          </w:p>
        </w:tc>
        <w:tc>
          <w:tcPr>
            <w:tcW w:w="3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A13FC56" w14:textId="77777777" w:rsidR="00065EE7" w:rsidRDefault="000B0521">
            <w:r>
              <w:rPr>
                <w:color w:val="000000"/>
                <w:sz w:val="20"/>
                <w:szCs w:val="20"/>
              </w:rPr>
              <w:t>Benchmarks aggregate route performance against network average</w:t>
            </w:r>
          </w:p>
        </w:tc>
      </w:tr>
      <w:tr w:rsidR="00065EE7" w14:paraId="6926C50A"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8A3E95D" w14:textId="77777777" w:rsidR="00065EE7" w:rsidRDefault="000B0521">
            <w:r>
              <w:rPr>
                <w:b/>
                <w:bCs/>
                <w:color w:val="000000"/>
                <w:sz w:val="20"/>
                <w:szCs w:val="20"/>
              </w:rPr>
              <w:t>Route Volume</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33C91FD" w14:textId="77777777" w:rsidR="00065EE7" w:rsidRDefault="000B0521">
            <w:r>
              <w:rPr>
                <w:color w:val="000000"/>
                <w:sz w:val="20"/>
                <w:szCs w:val="20"/>
              </w:rPr>
              <w:t>Total shipment count per factory-state corridor</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5B984C1" w14:textId="77777777" w:rsidR="00065EE7" w:rsidRDefault="000B0521">
            <w:r>
              <w:rPr>
                <w:color w:val="000000"/>
                <w:sz w:val="20"/>
                <w:szCs w:val="20"/>
              </w:rPr>
              <w:t>Identifies high-leverage routes where improvements yield maximum impact</w:t>
            </w:r>
          </w:p>
        </w:tc>
      </w:tr>
      <w:tr w:rsidR="00065EE7" w14:paraId="7E8C1DB6"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F620440" w14:textId="77777777" w:rsidR="00065EE7" w:rsidRDefault="000B0521">
            <w:r>
              <w:rPr>
                <w:b/>
                <w:bCs/>
                <w:color w:val="000000"/>
                <w:sz w:val="20"/>
                <w:szCs w:val="20"/>
              </w:rPr>
              <w:t>Delay Frequency</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E49C924" w14:textId="77777777" w:rsidR="00065EE7" w:rsidRDefault="000B0521">
            <w:r>
              <w:rPr>
                <w:color w:val="000000"/>
                <w:sz w:val="20"/>
                <w:szCs w:val="20"/>
              </w:rPr>
              <w:t xml:space="preserve">% </w:t>
            </w:r>
            <w:proofErr w:type="gramStart"/>
            <w:r>
              <w:rPr>
                <w:color w:val="000000"/>
                <w:sz w:val="20"/>
                <w:szCs w:val="20"/>
              </w:rPr>
              <w:t>of</w:t>
            </w:r>
            <w:proofErr w:type="gramEnd"/>
            <w:r>
              <w:rPr>
                <w:color w:val="000000"/>
                <w:sz w:val="20"/>
                <w:szCs w:val="20"/>
              </w:rPr>
              <w:t xml:space="preserve"> shipments exceeding derived statistical threshold</w:t>
            </w:r>
          </w:p>
        </w:tc>
        <w:tc>
          <w:tcPr>
            <w:tcW w:w="3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FB64544" w14:textId="77777777" w:rsidR="00065EE7" w:rsidRDefault="000B0521">
            <w:r>
              <w:rPr>
                <w:color w:val="000000"/>
                <w:sz w:val="20"/>
                <w:szCs w:val="20"/>
              </w:rPr>
              <w:t>Service-level reliability indicator for route and factory benchmarking</w:t>
            </w:r>
          </w:p>
        </w:tc>
      </w:tr>
      <w:tr w:rsidR="00065EE7" w14:paraId="3D2A87C5"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05CD16A" w14:textId="77777777" w:rsidR="00065EE7" w:rsidRDefault="000B0521">
            <w:r>
              <w:rPr>
                <w:b/>
                <w:bCs/>
                <w:color w:val="000000"/>
                <w:sz w:val="20"/>
                <w:szCs w:val="20"/>
              </w:rPr>
              <w:t>Efficiency Score</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3DACAEA" w14:textId="77777777" w:rsidR="00065EE7" w:rsidRDefault="000B0521">
            <w:r>
              <w:rPr>
                <w:color w:val="000000"/>
                <w:sz w:val="20"/>
                <w:szCs w:val="20"/>
              </w:rPr>
              <w:t>Composite normalized score (0–100 scale)</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BA75311" w14:textId="77777777" w:rsidR="00065EE7" w:rsidRDefault="000B0521">
            <w:r>
              <w:rPr>
                <w:color w:val="000000"/>
                <w:sz w:val="20"/>
                <w:szCs w:val="20"/>
              </w:rPr>
              <w:t>Enables objective apples-to-apples comparison across all routes</w:t>
            </w:r>
          </w:p>
        </w:tc>
      </w:tr>
    </w:tbl>
    <w:p w14:paraId="23A76D2E" w14:textId="77777777" w:rsidR="00065EE7" w:rsidRDefault="00065EE7">
      <w:pPr>
        <w:spacing w:before="240" w:after="240"/>
      </w:pPr>
    </w:p>
    <w:p w14:paraId="2DCD71F2" w14:textId="77777777" w:rsidR="00B40626" w:rsidRDefault="00B40626" w:rsidP="00B40626">
      <w:pPr>
        <w:pBdr>
          <w:bottom w:val="single" w:sz="6" w:space="1" w:color="2E75B6"/>
        </w:pBdr>
        <w:spacing w:before="280" w:after="100"/>
      </w:pPr>
      <w:r>
        <w:rPr>
          <w:b/>
          <w:bCs/>
          <w:color w:val="1F3864"/>
          <w:sz w:val="26"/>
          <w:szCs w:val="26"/>
        </w:rPr>
        <w:t>6. RESULTS &amp; FINDINGS</w:t>
      </w:r>
    </w:p>
    <w:p w14:paraId="56632C7B" w14:textId="77777777" w:rsidR="00B40626" w:rsidRDefault="00B40626"/>
    <w:p w14:paraId="7D6A2D9A" w14:textId="77777777" w:rsidR="00B40626" w:rsidRDefault="00B40626"/>
    <w:tbl>
      <w:tblPr>
        <w:tblW w:w="936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3"/>
      </w:tblGrid>
      <w:tr w:rsidR="00B40626" w14:paraId="487E6F9F" w14:textId="77777777" w:rsidTr="005B44D6">
        <w:tc>
          <w:tcPr>
            <w:tcW w:w="4680" w:type="dxa"/>
            <w:tcBorders>
              <w:top w:val="none" w:sz="0" w:space="0" w:color="FFFFFF"/>
              <w:left w:val="none" w:sz="0" w:space="0" w:color="FFFFFF"/>
              <w:bottom w:val="none" w:sz="0" w:space="0" w:color="FFFFFF"/>
              <w:right w:val="none" w:sz="0" w:space="0" w:color="FFFFFF"/>
            </w:tcBorders>
            <w:tcMar>
              <w:top w:w="0" w:type="dxa"/>
              <w:left w:w="0" w:type="dxa"/>
              <w:bottom w:w="0" w:type="dxa"/>
              <w:right w:w="160" w:type="dxa"/>
            </w:tcMar>
          </w:tcPr>
          <w:p w14:paraId="6D646640" w14:textId="77777777" w:rsidR="00B40626" w:rsidRDefault="00B40626" w:rsidP="00854A82">
            <w:pPr>
              <w:spacing w:before="180" w:after="60"/>
            </w:pPr>
            <w:r>
              <w:rPr>
                <w:b/>
                <w:bCs/>
                <w:i/>
                <w:iCs/>
                <w:color w:val="2E75B6"/>
                <w:sz w:val="23"/>
                <w:szCs w:val="23"/>
              </w:rPr>
              <w:t>6.1 Average Lead Time by Factory</w:t>
            </w:r>
          </w:p>
          <w:p w14:paraId="3FB3A873" w14:textId="77777777" w:rsidR="00B40626" w:rsidRDefault="00B40626" w:rsidP="00854A82">
            <w:pPr>
              <w:spacing w:before="60" w:after="60" w:line="276" w:lineRule="auto"/>
              <w:jc w:val="both"/>
            </w:pPr>
            <w:r>
              <w:t>Analysis across all five factory origins reveals that lead time variability is driven primarily by operational friction and geographic mismatch rather than random transit noise. The Sugar Shack facility (Minnesota) records the highest network average lead time, attributable to its northern-central location relative to the eastern seaboard customer concentration. Lot’s O’ Nuts (Arizona) and Wicked Choccy’s (Georgia) perform at or below the network average, benefiting from proximity to high-density customer corridors in the Southwest and Southeast respectively.</w:t>
            </w:r>
          </w:p>
          <w:p w14:paraId="6A521FB6" w14:textId="77777777" w:rsidR="00B40626" w:rsidRDefault="00B40626" w:rsidP="00854A82">
            <w:pPr>
              <w:spacing w:before="80" w:after="80"/>
            </w:pPr>
          </w:p>
          <w:p w14:paraId="6B978472" w14:textId="77777777" w:rsidR="00B40626" w:rsidRDefault="00B40626" w:rsidP="00854A82">
            <w:pPr>
              <w:spacing w:before="180" w:after="60"/>
            </w:pPr>
            <w:r>
              <w:rPr>
                <w:b/>
                <w:bCs/>
                <w:i/>
                <w:iCs/>
                <w:color w:val="2E75B6"/>
                <w:sz w:val="23"/>
                <w:szCs w:val="23"/>
              </w:rPr>
              <w:t>6.2 Ship Mode Performance Analysis</w:t>
            </w:r>
          </w:p>
          <w:p w14:paraId="2EC108DE" w14:textId="77777777" w:rsidR="00B40626" w:rsidRDefault="00B40626" w:rsidP="00854A82">
            <w:pPr>
              <w:spacing w:before="60" w:after="60" w:line="276" w:lineRule="auto"/>
              <w:jc w:val="both"/>
            </w:pPr>
            <w:r>
              <w:t xml:space="preserve">Expedited shipping modes demonstrate universally lower lead times across all factory-route combinations. However, the magnitude of improvement varies significantly by region. The South region exhibits the greatest absolute lead time reduction when upgrading from Standard to First Class, yet simultaneously retains the highest absolute baseline, confirming a “bottleneck override” effect in </w:t>
            </w:r>
            <w:r>
              <w:lastRenderedPageBreak/>
              <w:t>which infrastructure-level geographic friction partially neutralizes the operational advantages of premium shipping investment.</w:t>
            </w:r>
          </w:p>
          <w:p w14:paraId="3E7E0570" w14:textId="77777777" w:rsidR="00B40626" w:rsidRDefault="00B40626" w:rsidP="00854A82">
            <w:pPr>
              <w:spacing w:before="80" w:after="80"/>
            </w:pPr>
          </w:p>
          <w:p w14:paraId="03A37CE6" w14:textId="77777777" w:rsidR="00B40626" w:rsidRDefault="00B40626" w:rsidP="00854A82">
            <w:pPr>
              <w:spacing w:before="180" w:after="60"/>
            </w:pPr>
            <w:r>
              <w:rPr>
                <w:b/>
                <w:bCs/>
                <w:i/>
                <w:iCs/>
                <w:color w:val="2E75B6"/>
                <w:sz w:val="23"/>
                <w:szCs w:val="23"/>
              </w:rPr>
              <w:t>6.3 Delay Frequency by Product Division</w:t>
            </w:r>
          </w:p>
          <w:p w14:paraId="31FB238D" w14:textId="77777777" w:rsidR="00B40626" w:rsidRDefault="00B40626" w:rsidP="00854A82">
            <w:pPr>
              <w:spacing w:before="60" w:after="60" w:line="276" w:lineRule="auto"/>
              <w:jc w:val="both"/>
            </w:pPr>
            <w:r>
              <w:t xml:space="preserve">Delay frequency analysis by product division reveals a pronounced stratification in service reliability. The ‘Other’ division—comprising specialty products including Fizzy Lifting Drinks and </w:t>
            </w:r>
            <w:proofErr w:type="spellStart"/>
            <w:r>
              <w:t>Kazookles</w:t>
            </w:r>
            <w:proofErr w:type="spellEnd"/>
            <w:r>
              <w:t>—exhibits the highest delay rate, significantly exceeding both the Sugar and Chocolate divisions. Investigation suggests that specialized handling protocols, lower shipment frequency, and non-standard packaging requirements contribute materially to this performance differential.</w:t>
            </w:r>
          </w:p>
        </w:tc>
        <w:tc>
          <w:tcPr>
            <w:tcW w:w="4683" w:type="dxa"/>
            <w:tcBorders>
              <w:top w:val="none" w:sz="0" w:space="0" w:color="FFFFFF"/>
              <w:left w:val="none" w:sz="0" w:space="0" w:color="FFFFFF"/>
              <w:bottom w:val="none" w:sz="0" w:space="0" w:color="FFFFFF"/>
              <w:right w:val="none" w:sz="0" w:space="0" w:color="FFFFFF"/>
            </w:tcBorders>
            <w:tcMar>
              <w:top w:w="0" w:type="dxa"/>
              <w:left w:w="160" w:type="dxa"/>
              <w:bottom w:w="0" w:type="dxa"/>
              <w:right w:w="0" w:type="dxa"/>
            </w:tcMar>
          </w:tcPr>
          <w:p w14:paraId="4C4BD93E" w14:textId="77777777" w:rsidR="003D469A" w:rsidRDefault="003D469A" w:rsidP="003D469A">
            <w:pPr>
              <w:spacing w:before="180" w:after="60"/>
            </w:pPr>
            <w:r>
              <w:rPr>
                <w:b/>
                <w:bCs/>
                <w:i/>
                <w:iCs/>
                <w:color w:val="2E75B6"/>
                <w:sz w:val="23"/>
                <w:szCs w:val="23"/>
              </w:rPr>
              <w:lastRenderedPageBreak/>
              <w:t>6.4 Route Efficiency Benchmarking</w:t>
            </w:r>
          </w:p>
          <w:p w14:paraId="14D9F219" w14:textId="77777777" w:rsidR="003D469A" w:rsidRDefault="003D469A" w:rsidP="003D469A">
            <w:pPr>
              <w:spacing w:before="60" w:after="60" w:line="276" w:lineRule="auto"/>
              <w:jc w:val="both"/>
            </w:pPr>
            <w:r>
              <w:t>The normalized Efficiency Score (0–100) enables objective route comparison irrespective of corridor distance. Top-performing routes are predominantly short-to-medium haul corridors where factory proximity, high shipment volume, and competitive carrier availability combine to produce consistently low lead times and minimal delay rates. Bottom-performing routes are concentrated among Sugar Shack (MN) and Secret Factory (IL) shipments to New England and Pacific Northwest states, confirming a geographic mismatch hypothesis in which northern Midwestern factory origins are poorly matched to distant coastal destinations.</w:t>
            </w:r>
          </w:p>
          <w:p w14:paraId="3EF35497" w14:textId="77777777" w:rsidR="003D469A" w:rsidRDefault="003D469A" w:rsidP="003D469A">
            <w:pPr>
              <w:spacing w:before="80" w:after="80"/>
            </w:pPr>
          </w:p>
          <w:p w14:paraId="3AD52498" w14:textId="77777777" w:rsidR="003D469A" w:rsidRDefault="003D469A" w:rsidP="003D469A">
            <w:pPr>
              <w:spacing w:before="180" w:after="60"/>
            </w:pPr>
            <w:r>
              <w:rPr>
                <w:b/>
                <w:bCs/>
                <w:i/>
                <w:iCs/>
                <w:color w:val="2E75B6"/>
                <w:sz w:val="23"/>
                <w:szCs w:val="23"/>
              </w:rPr>
              <w:t>6.5 Geographic Bottleneck Heatmap</w:t>
            </w:r>
          </w:p>
          <w:p w14:paraId="1DE9A254" w14:textId="77777777" w:rsidR="003D469A" w:rsidRDefault="003D469A" w:rsidP="003D469A">
            <w:pPr>
              <w:spacing w:before="60" w:after="60" w:line="276" w:lineRule="auto"/>
              <w:jc w:val="both"/>
            </w:pPr>
            <w:r>
              <w:t xml:space="preserve">The Factory × Region lead time heatmap provides the most granular visualization of systemic geographic bottlenecks. The South region emerges as the network’s most critical congestion zone, with Sugar Shack (MN) to South recording the network maximum lead time. The West region presents a bifurcated </w:t>
            </w:r>
            <w:r>
              <w:lastRenderedPageBreak/>
              <w:t>performance profile: Lot’s O’ Nuts (AZ) demonstrates strong West-region performance due to geographic proximity, while Midwest and Northeast factories face substantially amplified lead times when serving western customer zones.</w:t>
            </w:r>
          </w:p>
          <w:p w14:paraId="197EDB28" w14:textId="77777777" w:rsidR="003C41AD" w:rsidRDefault="003C41AD" w:rsidP="00854A82">
            <w:pPr>
              <w:spacing w:before="180" w:after="60"/>
            </w:pPr>
          </w:p>
          <w:p w14:paraId="77E4D2D0" w14:textId="77447D11" w:rsidR="00B40626" w:rsidRDefault="00B40626" w:rsidP="00854A82">
            <w:pPr>
              <w:spacing w:before="180" w:after="60"/>
            </w:pPr>
            <w:r>
              <w:rPr>
                <w:b/>
                <w:bCs/>
                <w:i/>
                <w:iCs/>
                <w:color w:val="2E75B6"/>
                <w:sz w:val="23"/>
                <w:szCs w:val="23"/>
              </w:rPr>
              <w:t>6.6 Route Volume Analysis</w:t>
            </w:r>
          </w:p>
          <w:p w14:paraId="2078771E" w14:textId="77777777" w:rsidR="00B40626" w:rsidRDefault="00B40626" w:rsidP="00854A82">
            <w:pPr>
              <w:spacing w:before="60" w:after="60" w:line="276" w:lineRule="auto"/>
              <w:jc w:val="both"/>
            </w:pPr>
            <w:r>
              <w:t>High-volume routes that simultaneously exhibit above-average lead times represent the highest operational risk, as delays on these corridors affect the maximum number of customer orders. Scatter analysis of route volume versus average lead time identifies a critical quadrant of high-volume, high-lead-time routes that should be prioritized in any logistics optimization initiative. These routes represent the intersection of maximum customer impact and maximum improvement opportunity.</w:t>
            </w:r>
          </w:p>
        </w:tc>
      </w:tr>
      <w:tr w:rsidR="003D469A" w14:paraId="034AFA9D" w14:textId="77777777" w:rsidTr="003C41AD">
        <w:trPr>
          <w:gridAfter w:val="1"/>
          <w:wAfter w:w="4683" w:type="dxa"/>
        </w:trPr>
        <w:tc>
          <w:tcPr>
            <w:tcW w:w="4680" w:type="dxa"/>
            <w:tcBorders>
              <w:top w:val="none" w:sz="0" w:space="0" w:color="FFFFFF"/>
              <w:left w:val="none" w:sz="0" w:space="0" w:color="FFFFFF"/>
              <w:bottom w:val="none" w:sz="0" w:space="0" w:color="FFFFFF"/>
              <w:right w:val="none" w:sz="0" w:space="0" w:color="FFFFFF"/>
            </w:tcBorders>
            <w:tcMar>
              <w:top w:w="0" w:type="dxa"/>
              <w:left w:w="0" w:type="dxa"/>
              <w:bottom w:w="0" w:type="dxa"/>
              <w:right w:w="160" w:type="dxa"/>
            </w:tcMar>
          </w:tcPr>
          <w:p w14:paraId="232E7CD9" w14:textId="77777777" w:rsidR="003D469A" w:rsidRDefault="003D469A" w:rsidP="003D469A">
            <w:pPr>
              <w:spacing w:before="180" w:after="60"/>
              <w:rPr>
                <w:b/>
                <w:bCs/>
                <w:i/>
                <w:iCs/>
                <w:color w:val="2E75B6"/>
                <w:sz w:val="23"/>
                <w:szCs w:val="23"/>
              </w:rPr>
            </w:pPr>
          </w:p>
          <w:p w14:paraId="2809438B" w14:textId="77777777" w:rsidR="003C41AD" w:rsidRDefault="003C41AD" w:rsidP="003D469A">
            <w:pPr>
              <w:spacing w:before="180" w:after="60"/>
              <w:rPr>
                <w:b/>
                <w:bCs/>
                <w:i/>
                <w:iCs/>
                <w:color w:val="2E75B6"/>
                <w:sz w:val="23"/>
                <w:szCs w:val="23"/>
              </w:rPr>
            </w:pPr>
          </w:p>
          <w:p w14:paraId="61F13EE3" w14:textId="497852B2" w:rsidR="003C41AD" w:rsidRPr="00B40626" w:rsidRDefault="003C41AD" w:rsidP="003D469A">
            <w:pPr>
              <w:spacing w:before="180" w:after="60"/>
              <w:rPr>
                <w:b/>
                <w:bCs/>
                <w:i/>
                <w:iCs/>
                <w:color w:val="2E75B6"/>
                <w:sz w:val="23"/>
                <w:szCs w:val="23"/>
              </w:rPr>
            </w:pPr>
          </w:p>
        </w:tc>
      </w:tr>
    </w:tbl>
    <w:tbl>
      <w:tblPr>
        <w:tblpPr w:leftFromText="180" w:rightFromText="180" w:vertAnchor="text" w:horzAnchor="margin" w:tblpY="5541"/>
        <w:tblW w:w="1020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03"/>
      </w:tblGrid>
      <w:tr w:rsidR="005B44D6" w14:paraId="6DBC13E6" w14:textId="77777777" w:rsidTr="005B44D6">
        <w:tc>
          <w:tcPr>
            <w:tcW w:w="10203" w:type="dxa"/>
            <w:tcBorders>
              <w:top w:val="single" w:sz="4" w:space="0" w:color="2E75B6"/>
              <w:left w:val="single" w:sz="2" w:space="0" w:color="AAAAAA"/>
              <w:bottom w:val="single" w:sz="4" w:space="0" w:color="2E75B6"/>
              <w:right w:val="single" w:sz="2" w:space="0" w:color="AAAAAA"/>
            </w:tcBorders>
            <w:shd w:val="clear" w:color="auto" w:fill="EBF3FB"/>
            <w:tcMar>
              <w:top w:w="320" w:type="dxa"/>
              <w:left w:w="200" w:type="dxa"/>
              <w:bottom w:w="320" w:type="dxa"/>
              <w:right w:w="200" w:type="dxa"/>
            </w:tcMar>
          </w:tcPr>
          <w:p w14:paraId="5BA1EADD" w14:textId="77777777" w:rsidR="005B44D6" w:rsidRDefault="005B44D6" w:rsidP="005B44D6">
            <w:pPr>
              <w:spacing w:before="60" w:after="120"/>
              <w:jc w:val="center"/>
            </w:pPr>
            <w:r>
              <w:rPr>
                <w:i/>
                <w:iCs/>
                <w:color w:val="555555"/>
                <w:sz w:val="20"/>
                <w:szCs w:val="20"/>
              </w:rPr>
              <w:lastRenderedPageBreak/>
              <w:t>Figure 1: Average shipping lead time by factory origin. Factories exceeding the network average are flagged for priority carrier review.</w:t>
            </w:r>
          </w:p>
        </w:tc>
      </w:tr>
    </w:tbl>
    <w:p w14:paraId="691444AA" w14:textId="2291FBDD" w:rsidR="00065EE7" w:rsidRDefault="005B44D6">
      <w:r w:rsidRPr="005B44D6">
        <w:rPr>
          <w:noProof/>
        </w:rPr>
        <w:drawing>
          <wp:inline distT="0" distB="0" distL="0" distR="0" wp14:anchorId="55781823" wp14:editId="0584BDE6">
            <wp:extent cx="6502400" cy="328041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6502400" cy="3280410"/>
                    </a:xfrm>
                    <a:prstGeom prst="rect">
                      <a:avLst/>
                    </a:prstGeom>
                  </pic:spPr>
                </pic:pic>
              </a:graphicData>
            </a:graphic>
          </wp:inline>
        </w:drawing>
      </w:r>
      <w:r w:rsidR="000B0521">
        <w:br w:type="page"/>
      </w:r>
    </w:p>
    <w:p w14:paraId="6F24C943" w14:textId="77777777" w:rsidR="00065EE7" w:rsidRDefault="00065EE7">
      <w:pPr>
        <w:spacing w:before="200" w:after="200"/>
      </w:pPr>
    </w:p>
    <w:p w14:paraId="640F731F" w14:textId="77777777" w:rsidR="00065EE7" w:rsidRDefault="00065EE7">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065EE7" w14:paraId="3C3ED74B" w14:textId="77777777" w:rsidTr="003C41AD">
        <w:tc>
          <w:tcPr>
            <w:tcW w:w="4680" w:type="dxa"/>
            <w:tcBorders>
              <w:top w:val="none" w:sz="0" w:space="0" w:color="FFFFFF"/>
              <w:left w:val="none" w:sz="0" w:space="0" w:color="FFFFFF"/>
              <w:bottom w:val="none" w:sz="0" w:space="0" w:color="FFFFFF"/>
              <w:right w:val="none" w:sz="0" w:space="0" w:color="FFFFFF"/>
            </w:tcBorders>
            <w:tcMar>
              <w:top w:w="0" w:type="dxa"/>
              <w:left w:w="0" w:type="dxa"/>
              <w:bottom w:w="0" w:type="dxa"/>
              <w:right w:w="80" w:type="dxa"/>
            </w:tcMar>
          </w:tcPr>
          <w:p w14:paraId="65F86AF9" w14:textId="77777777" w:rsidR="00065EE7" w:rsidRDefault="000B0521">
            <w:pPr>
              <w:spacing w:before="60" w:after="120"/>
              <w:jc w:val="center"/>
            </w:pPr>
            <w:r>
              <w:rPr>
                <w:i/>
                <w:iCs/>
                <w:color w:val="555555"/>
                <w:sz w:val="20"/>
                <w:szCs w:val="20"/>
              </w:rPr>
              <w:t>Figure 2: Standard vs. Expedited lead times by region.</w:t>
            </w:r>
          </w:p>
        </w:tc>
        <w:tc>
          <w:tcPr>
            <w:tcW w:w="4680" w:type="dxa"/>
            <w:tcBorders>
              <w:top w:val="none" w:sz="0" w:space="0" w:color="FFFFFF"/>
              <w:left w:val="none" w:sz="0" w:space="0" w:color="FFFFFF"/>
              <w:bottom w:val="none" w:sz="0" w:space="0" w:color="FFFFFF"/>
              <w:right w:val="none" w:sz="0" w:space="0" w:color="FFFFFF"/>
            </w:tcBorders>
            <w:tcMar>
              <w:top w:w="0" w:type="dxa"/>
              <w:left w:w="80" w:type="dxa"/>
              <w:bottom w:w="0" w:type="dxa"/>
              <w:right w:w="0" w:type="dxa"/>
            </w:tcMar>
          </w:tcPr>
          <w:p w14:paraId="4E660E49" w14:textId="77777777" w:rsidR="00065EE7" w:rsidRDefault="000B0521">
            <w:pPr>
              <w:spacing w:before="60" w:after="120"/>
              <w:jc w:val="center"/>
            </w:pPr>
            <w:r>
              <w:rPr>
                <w:i/>
                <w:iCs/>
                <w:color w:val="555555"/>
                <w:sz w:val="20"/>
                <w:szCs w:val="20"/>
              </w:rPr>
              <w:t>Figure 3: Delay frequency (%) by product division.</w:t>
            </w:r>
          </w:p>
        </w:tc>
      </w:tr>
    </w:tbl>
    <w:tbl>
      <w:tblPr>
        <w:tblpPr w:leftFromText="180" w:rightFromText="180" w:vertAnchor="text" w:horzAnchor="margin" w:tblpY="-192"/>
        <w:tblOverlap w:val="never"/>
        <w:tblW w:w="4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480"/>
      </w:tblGrid>
      <w:tr w:rsidR="003C41AD" w14:paraId="32866FB2" w14:textId="77777777" w:rsidTr="003C41AD">
        <w:tc>
          <w:tcPr>
            <w:tcW w:w="4480" w:type="dxa"/>
            <w:tcBorders>
              <w:top w:val="single" w:sz="4" w:space="0" w:color="2E75B6"/>
              <w:left w:val="single" w:sz="2" w:space="0" w:color="AAAAAA"/>
              <w:bottom w:val="single" w:sz="4" w:space="0" w:color="2E75B6"/>
              <w:right w:val="single" w:sz="2" w:space="0" w:color="AAAAAA"/>
            </w:tcBorders>
            <w:shd w:val="clear" w:color="auto" w:fill="EBF3FB"/>
            <w:tcMar>
              <w:top w:w="320" w:type="dxa"/>
              <w:left w:w="200" w:type="dxa"/>
              <w:bottom w:w="320" w:type="dxa"/>
              <w:right w:w="200" w:type="dxa"/>
            </w:tcMar>
          </w:tcPr>
          <w:p w14:paraId="6F81F650" w14:textId="77777777" w:rsidR="003C41AD" w:rsidRDefault="003C41AD" w:rsidP="003C41AD">
            <w:pPr>
              <w:jc w:val="center"/>
            </w:pPr>
            <w:r>
              <w:rPr>
                <w:b/>
                <w:bCs/>
                <w:color w:val="2E75B6"/>
              </w:rPr>
              <w:t xml:space="preserve">[ INSERT </w:t>
            </w:r>
            <w:proofErr w:type="gramStart"/>
            <w:r>
              <w:rPr>
                <w:b/>
                <w:bCs/>
                <w:color w:val="2E75B6"/>
              </w:rPr>
              <w:t>CHART ]</w:t>
            </w:r>
            <w:proofErr w:type="gramEnd"/>
          </w:p>
          <w:p w14:paraId="67D35C3D" w14:textId="77777777" w:rsidR="003C41AD" w:rsidRDefault="003C41AD" w:rsidP="003C41AD">
            <w:pPr>
              <w:spacing w:before="60"/>
              <w:jc w:val="center"/>
            </w:pPr>
            <w:r>
              <w:rPr>
                <w:i/>
                <w:iCs/>
                <w:color w:val="444444"/>
                <w:sz w:val="20"/>
                <w:szCs w:val="20"/>
              </w:rPr>
              <w:t>Figure 2: Standard vs. Expedited Lead Times by Region — insert from Ship Mode Comparison page</w:t>
            </w:r>
          </w:p>
        </w:tc>
      </w:tr>
    </w:tbl>
    <w:p w14:paraId="51D62ABE" w14:textId="676EEFA1" w:rsidR="00065EE7" w:rsidRDefault="0014683E">
      <w:pPr>
        <w:spacing w:before="200" w:after="200"/>
      </w:pPr>
      <w:r w:rsidRPr="0014683E">
        <w:drawing>
          <wp:inline distT="0" distB="0" distL="0" distR="0" wp14:anchorId="25EBEF59" wp14:editId="6B31ADCC">
            <wp:extent cx="6502400" cy="2967990"/>
            <wp:effectExtent l="0" t="0" r="0"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502400" cy="2967990"/>
                    </a:xfrm>
                    <a:prstGeom prst="rect">
                      <a:avLst/>
                    </a:prstGeom>
                  </pic:spPr>
                </pic:pic>
              </a:graphicData>
            </a:graphic>
          </wp:inline>
        </w:drawing>
      </w:r>
    </w:p>
    <w:tbl>
      <w:tblPr>
        <w:tblpPr w:leftFromText="180" w:rightFromText="180" w:vertAnchor="text" w:horzAnchor="margin" w:tblpY="1501"/>
        <w:tblOverlap w:val="never"/>
        <w:tblW w:w="4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480"/>
      </w:tblGrid>
      <w:tr w:rsidR="003C41AD" w14:paraId="3FA1314E" w14:textId="77777777" w:rsidTr="003C41AD">
        <w:tc>
          <w:tcPr>
            <w:tcW w:w="4480" w:type="dxa"/>
            <w:tcBorders>
              <w:top w:val="single" w:sz="4" w:space="0" w:color="2E75B6"/>
              <w:left w:val="single" w:sz="2" w:space="0" w:color="AAAAAA"/>
              <w:bottom w:val="single" w:sz="4" w:space="0" w:color="2E75B6"/>
              <w:right w:val="single" w:sz="2" w:space="0" w:color="AAAAAA"/>
            </w:tcBorders>
            <w:shd w:val="clear" w:color="auto" w:fill="EBF3FB"/>
            <w:tcMar>
              <w:top w:w="320" w:type="dxa"/>
              <w:left w:w="200" w:type="dxa"/>
              <w:bottom w:w="320" w:type="dxa"/>
              <w:right w:w="200" w:type="dxa"/>
            </w:tcMar>
          </w:tcPr>
          <w:p w14:paraId="3397A70F" w14:textId="77777777" w:rsidR="003C41AD" w:rsidRDefault="003C41AD" w:rsidP="003C41AD">
            <w:pPr>
              <w:jc w:val="center"/>
            </w:pPr>
            <w:r>
              <w:rPr>
                <w:b/>
                <w:bCs/>
                <w:color w:val="2E75B6"/>
              </w:rPr>
              <w:t xml:space="preserve">[ INSERT </w:t>
            </w:r>
            <w:proofErr w:type="gramStart"/>
            <w:r>
              <w:rPr>
                <w:b/>
                <w:bCs/>
                <w:color w:val="2E75B6"/>
              </w:rPr>
              <w:t>CHART ]</w:t>
            </w:r>
            <w:proofErr w:type="gramEnd"/>
          </w:p>
          <w:p w14:paraId="5BF0CACE" w14:textId="77777777" w:rsidR="003C41AD" w:rsidRDefault="003C41AD" w:rsidP="003C41AD">
            <w:pPr>
              <w:spacing w:before="60"/>
              <w:jc w:val="center"/>
            </w:pPr>
            <w:r>
              <w:rPr>
                <w:i/>
                <w:iCs/>
                <w:color w:val="444444"/>
                <w:sz w:val="20"/>
                <w:szCs w:val="20"/>
              </w:rPr>
              <w:t>Figure 3: Delay Rate by Product Division — insert from Route Delay Analysis page</w:t>
            </w:r>
          </w:p>
        </w:tc>
      </w:tr>
    </w:tbl>
    <w:p w14:paraId="20329457" w14:textId="2E91BF63" w:rsidR="00065EE7" w:rsidRDefault="0014683E">
      <w:r w:rsidRPr="0014683E">
        <w:lastRenderedPageBreak/>
        <w:drawing>
          <wp:inline distT="0" distB="0" distL="0" distR="0" wp14:anchorId="4DC97847" wp14:editId="64B8AA6F">
            <wp:extent cx="6546273" cy="3138014"/>
            <wp:effectExtent l="0" t="0" r="6985" b="571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639138" cy="3182530"/>
                    </a:xfrm>
                    <a:prstGeom prst="rect">
                      <a:avLst/>
                    </a:prstGeom>
                  </pic:spPr>
                </pic:pic>
              </a:graphicData>
            </a:graphic>
          </wp:inline>
        </w:drawing>
      </w:r>
      <w:r w:rsidR="000B0521">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65EE7" w14:paraId="72879A7F" w14:textId="77777777">
        <w:tc>
          <w:tcPr>
            <w:tcW w:w="9360" w:type="dxa"/>
            <w:tcBorders>
              <w:top w:val="single" w:sz="4" w:space="0" w:color="2E75B6"/>
              <w:left w:val="single" w:sz="2" w:space="0" w:color="AAAAAA"/>
              <w:bottom w:val="single" w:sz="4" w:space="0" w:color="2E75B6"/>
              <w:right w:val="single" w:sz="2" w:space="0" w:color="AAAAAA"/>
            </w:tcBorders>
            <w:shd w:val="clear" w:color="auto" w:fill="EBF3FB"/>
            <w:tcMar>
              <w:top w:w="320" w:type="dxa"/>
              <w:left w:w="200" w:type="dxa"/>
              <w:bottom w:w="320" w:type="dxa"/>
              <w:right w:w="200" w:type="dxa"/>
            </w:tcMar>
          </w:tcPr>
          <w:p w14:paraId="4F7194DD" w14:textId="77777777" w:rsidR="00065EE7" w:rsidRDefault="000B0521">
            <w:pPr>
              <w:jc w:val="center"/>
            </w:pPr>
            <w:r>
              <w:rPr>
                <w:b/>
                <w:bCs/>
                <w:color w:val="2E75B6"/>
              </w:rPr>
              <w:lastRenderedPageBreak/>
              <w:t xml:space="preserve">[ INSERT </w:t>
            </w:r>
            <w:proofErr w:type="gramStart"/>
            <w:r>
              <w:rPr>
                <w:b/>
                <w:bCs/>
                <w:color w:val="2E75B6"/>
              </w:rPr>
              <w:t>CHART ]</w:t>
            </w:r>
            <w:proofErr w:type="gramEnd"/>
          </w:p>
          <w:p w14:paraId="5368B228" w14:textId="77777777" w:rsidR="00065EE7" w:rsidRDefault="000B0521">
            <w:pPr>
              <w:spacing w:before="60"/>
              <w:jc w:val="center"/>
            </w:pPr>
            <w:r>
              <w:rPr>
                <w:i/>
                <w:iCs/>
                <w:color w:val="444444"/>
                <w:sz w:val="20"/>
                <w:szCs w:val="20"/>
              </w:rPr>
              <w:t xml:space="preserve">Figure 4: Top 10 and Bottom 10 Routes by Efficiency Score — insert from Route Efficiency page, </w:t>
            </w:r>
            <w:proofErr w:type="spellStart"/>
            <w:r>
              <w:rPr>
                <w:i/>
                <w:iCs/>
                <w:color w:val="444444"/>
                <w:sz w:val="20"/>
                <w:szCs w:val="20"/>
              </w:rPr>
              <w:t>Leaderboard</w:t>
            </w:r>
            <w:proofErr w:type="spellEnd"/>
            <w:r>
              <w:rPr>
                <w:i/>
                <w:iCs/>
                <w:color w:val="444444"/>
                <w:sz w:val="20"/>
                <w:szCs w:val="20"/>
              </w:rPr>
              <w:t xml:space="preserve"> tab.</w:t>
            </w:r>
          </w:p>
        </w:tc>
      </w:tr>
    </w:tbl>
    <w:p w14:paraId="573EDE8A" w14:textId="77777777" w:rsidR="00065EE7" w:rsidRDefault="000B0521">
      <w:pPr>
        <w:spacing w:before="60" w:after="120"/>
        <w:jc w:val="center"/>
      </w:pPr>
      <w:r>
        <w:rPr>
          <w:i/>
          <w:iCs/>
          <w:color w:val="555555"/>
          <w:sz w:val="20"/>
          <w:szCs w:val="20"/>
        </w:rPr>
        <w:t>Figure 4: Top 10 (most efficient) and Bottom 10 (least efficient) routes by normalized Efficiency Score (0–100).</w:t>
      </w:r>
    </w:p>
    <w:p w14:paraId="21EC3D42" w14:textId="77777777" w:rsidR="00065EE7" w:rsidRDefault="00065EE7">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65EE7" w14:paraId="34BF92E7" w14:textId="77777777">
        <w:tc>
          <w:tcPr>
            <w:tcW w:w="9360" w:type="dxa"/>
            <w:tcBorders>
              <w:top w:val="single" w:sz="4" w:space="0" w:color="2E75B6"/>
              <w:left w:val="single" w:sz="2" w:space="0" w:color="AAAAAA"/>
              <w:bottom w:val="single" w:sz="4" w:space="0" w:color="2E75B6"/>
              <w:right w:val="single" w:sz="2" w:space="0" w:color="AAAAAA"/>
            </w:tcBorders>
            <w:shd w:val="clear" w:color="auto" w:fill="EBF3FB"/>
            <w:tcMar>
              <w:top w:w="320" w:type="dxa"/>
              <w:left w:w="200" w:type="dxa"/>
              <w:bottom w:w="320" w:type="dxa"/>
              <w:right w:w="200" w:type="dxa"/>
            </w:tcMar>
          </w:tcPr>
          <w:p w14:paraId="7EF6E0BE" w14:textId="77777777" w:rsidR="00065EE7" w:rsidRDefault="000B0521">
            <w:pPr>
              <w:jc w:val="center"/>
            </w:pPr>
            <w:r>
              <w:rPr>
                <w:b/>
                <w:bCs/>
                <w:color w:val="2E75B6"/>
              </w:rPr>
              <w:t xml:space="preserve">[ INSERT </w:t>
            </w:r>
            <w:proofErr w:type="gramStart"/>
            <w:r>
              <w:rPr>
                <w:b/>
                <w:bCs/>
                <w:color w:val="2E75B6"/>
              </w:rPr>
              <w:t>CHART ]</w:t>
            </w:r>
            <w:proofErr w:type="gramEnd"/>
          </w:p>
          <w:p w14:paraId="6018DC12" w14:textId="77777777" w:rsidR="00065EE7" w:rsidRDefault="000B0521">
            <w:pPr>
              <w:spacing w:before="60"/>
              <w:jc w:val="center"/>
            </w:pPr>
            <w:r>
              <w:rPr>
                <w:i/>
                <w:iCs/>
                <w:color w:val="444444"/>
                <w:sz w:val="20"/>
                <w:szCs w:val="20"/>
              </w:rPr>
              <w:t>Figure 5: Geographic Bottleneck Heatmap — Factory × Region — insert from Geographic Analysis page.</w:t>
            </w:r>
          </w:p>
        </w:tc>
      </w:tr>
    </w:tbl>
    <w:p w14:paraId="34738521" w14:textId="77777777" w:rsidR="00065EE7" w:rsidRDefault="000B0521">
      <w:pPr>
        <w:spacing w:before="60" w:after="120"/>
        <w:jc w:val="center"/>
      </w:pPr>
      <w:r>
        <w:rPr>
          <w:i/>
          <w:iCs/>
          <w:color w:val="555555"/>
          <w:sz w:val="20"/>
          <w:szCs w:val="20"/>
        </w:rPr>
        <w:t>Figure 5: Factory × Region average lead time heatmap. Dark red cells indicate the highest-priority bottleneck corridors.</w:t>
      </w:r>
    </w:p>
    <w:p w14:paraId="4EC71B54" w14:textId="77777777" w:rsidR="00065EE7" w:rsidRDefault="00065EE7">
      <w:pPr>
        <w:spacing w:before="200" w:after="200"/>
      </w:pPr>
    </w:p>
    <w:p w14:paraId="47704546" w14:textId="77777777" w:rsidR="00065EE7" w:rsidRDefault="000B0521">
      <w:pPr>
        <w:spacing w:before="120" w:after="60"/>
      </w:pPr>
      <w:r>
        <w:rPr>
          <w:b/>
          <w:bCs/>
          <w:color w:val="1F3864"/>
        </w:rPr>
        <w:t>TABLE 3: Factory Geographic Distribution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640"/>
        <w:gridCol w:w="1640"/>
        <w:gridCol w:w="3880"/>
      </w:tblGrid>
      <w:tr w:rsidR="00065EE7" w14:paraId="71361602" w14:textId="77777777">
        <w:tc>
          <w:tcPr>
            <w:tcW w:w="2200" w:type="dxa"/>
            <w:tcBorders>
              <w:top w:val="single" w:sz="4" w:space="0" w:color="1F3864"/>
              <w:left w:val="single" w:sz="1" w:space="0" w:color="CCCCCC"/>
              <w:bottom w:val="single" w:sz="4" w:space="0" w:color="1F3864"/>
              <w:right w:val="single" w:sz="1" w:space="0" w:color="CCCCCC"/>
            </w:tcBorders>
            <w:shd w:val="clear" w:color="auto" w:fill="1F3864"/>
            <w:tcMar>
              <w:top w:w="80" w:type="dxa"/>
              <w:left w:w="120" w:type="dxa"/>
              <w:bottom w:w="80" w:type="dxa"/>
              <w:right w:w="120" w:type="dxa"/>
            </w:tcMar>
            <w:vAlign w:val="center"/>
          </w:tcPr>
          <w:p w14:paraId="391E6D84" w14:textId="77777777" w:rsidR="00065EE7" w:rsidRDefault="000B0521">
            <w:r>
              <w:rPr>
                <w:b/>
                <w:bCs/>
                <w:color w:val="FFFFFF"/>
                <w:sz w:val="20"/>
                <w:szCs w:val="20"/>
              </w:rPr>
              <w:t>Factory</w:t>
            </w:r>
          </w:p>
        </w:tc>
        <w:tc>
          <w:tcPr>
            <w:tcW w:w="1640" w:type="dxa"/>
            <w:tcBorders>
              <w:top w:val="single" w:sz="4" w:space="0" w:color="1F3864"/>
              <w:left w:val="single" w:sz="1" w:space="0" w:color="CCCCCC"/>
              <w:bottom w:val="single" w:sz="4" w:space="0" w:color="1F3864"/>
              <w:right w:val="single" w:sz="1" w:space="0" w:color="CCCCCC"/>
            </w:tcBorders>
            <w:shd w:val="clear" w:color="auto" w:fill="1F3864"/>
            <w:tcMar>
              <w:top w:w="80" w:type="dxa"/>
              <w:left w:w="120" w:type="dxa"/>
              <w:bottom w:w="80" w:type="dxa"/>
              <w:right w:w="120" w:type="dxa"/>
            </w:tcMar>
            <w:vAlign w:val="center"/>
          </w:tcPr>
          <w:p w14:paraId="5F5C27AF" w14:textId="77777777" w:rsidR="00065EE7" w:rsidRDefault="000B0521">
            <w:r>
              <w:rPr>
                <w:b/>
                <w:bCs/>
                <w:color w:val="FFFFFF"/>
                <w:sz w:val="20"/>
                <w:szCs w:val="20"/>
              </w:rPr>
              <w:t>Latitude</w:t>
            </w:r>
          </w:p>
        </w:tc>
        <w:tc>
          <w:tcPr>
            <w:tcW w:w="1640" w:type="dxa"/>
            <w:tcBorders>
              <w:top w:val="single" w:sz="4" w:space="0" w:color="1F3864"/>
              <w:left w:val="single" w:sz="1" w:space="0" w:color="CCCCCC"/>
              <w:bottom w:val="single" w:sz="4" w:space="0" w:color="1F3864"/>
              <w:right w:val="single" w:sz="1" w:space="0" w:color="CCCCCC"/>
            </w:tcBorders>
            <w:shd w:val="clear" w:color="auto" w:fill="1F3864"/>
            <w:tcMar>
              <w:top w:w="80" w:type="dxa"/>
              <w:left w:w="120" w:type="dxa"/>
              <w:bottom w:w="80" w:type="dxa"/>
              <w:right w:w="120" w:type="dxa"/>
            </w:tcMar>
            <w:vAlign w:val="center"/>
          </w:tcPr>
          <w:p w14:paraId="6D6B5065" w14:textId="77777777" w:rsidR="00065EE7" w:rsidRDefault="000B0521">
            <w:r>
              <w:rPr>
                <w:b/>
                <w:bCs/>
                <w:color w:val="FFFFFF"/>
                <w:sz w:val="20"/>
                <w:szCs w:val="20"/>
              </w:rPr>
              <w:t>Longitude</w:t>
            </w:r>
          </w:p>
        </w:tc>
        <w:tc>
          <w:tcPr>
            <w:tcW w:w="3880" w:type="dxa"/>
            <w:tcBorders>
              <w:top w:val="single" w:sz="4" w:space="0" w:color="1F3864"/>
              <w:left w:val="single" w:sz="1" w:space="0" w:color="CCCCCC"/>
              <w:bottom w:val="single" w:sz="4" w:space="0" w:color="1F3864"/>
              <w:right w:val="single" w:sz="1" w:space="0" w:color="CCCCCC"/>
            </w:tcBorders>
            <w:shd w:val="clear" w:color="auto" w:fill="1F3864"/>
            <w:tcMar>
              <w:top w:w="80" w:type="dxa"/>
              <w:left w:w="120" w:type="dxa"/>
              <w:bottom w:w="80" w:type="dxa"/>
              <w:right w:w="120" w:type="dxa"/>
            </w:tcMar>
            <w:vAlign w:val="center"/>
          </w:tcPr>
          <w:p w14:paraId="48F81B24" w14:textId="77777777" w:rsidR="00065EE7" w:rsidRDefault="000B0521">
            <w:r>
              <w:rPr>
                <w:b/>
                <w:bCs/>
                <w:color w:val="FFFFFF"/>
                <w:sz w:val="20"/>
                <w:szCs w:val="20"/>
              </w:rPr>
              <w:t>Location &amp; Region</w:t>
            </w:r>
          </w:p>
        </w:tc>
      </w:tr>
      <w:tr w:rsidR="00065EE7" w14:paraId="111645DE"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2F73413" w14:textId="77777777" w:rsidR="00065EE7" w:rsidRDefault="000B0521">
            <w:r>
              <w:rPr>
                <w:b/>
                <w:bCs/>
                <w:color w:val="000000"/>
                <w:sz w:val="20"/>
                <w:szCs w:val="20"/>
              </w:rPr>
              <w:t>Lot’s O’ Nuts</w:t>
            </w:r>
          </w:p>
        </w:tc>
        <w:tc>
          <w:tcPr>
            <w:tcW w:w="16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95A5BB" w14:textId="77777777" w:rsidR="00065EE7" w:rsidRDefault="000B0521">
            <w:r>
              <w:rPr>
                <w:color w:val="000000"/>
                <w:sz w:val="20"/>
                <w:szCs w:val="20"/>
              </w:rPr>
              <w:t>32.88°N</w:t>
            </w:r>
          </w:p>
        </w:tc>
        <w:tc>
          <w:tcPr>
            <w:tcW w:w="16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803AED5" w14:textId="77777777" w:rsidR="00065EE7" w:rsidRDefault="000B0521">
            <w:r>
              <w:rPr>
                <w:color w:val="000000"/>
                <w:sz w:val="20"/>
                <w:szCs w:val="20"/>
              </w:rPr>
              <w:t>111.77°W</w:t>
            </w:r>
          </w:p>
        </w:tc>
        <w:tc>
          <w:tcPr>
            <w:tcW w:w="3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056E830" w14:textId="77777777" w:rsidR="00065EE7" w:rsidRDefault="000B0521">
            <w:r>
              <w:rPr>
                <w:color w:val="000000"/>
                <w:sz w:val="20"/>
                <w:szCs w:val="20"/>
              </w:rPr>
              <w:t>Hickman, Arizona (Southwest)</w:t>
            </w:r>
          </w:p>
        </w:tc>
      </w:tr>
      <w:tr w:rsidR="00065EE7" w14:paraId="15F0697C"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E83139E" w14:textId="77777777" w:rsidR="00065EE7" w:rsidRDefault="000B0521">
            <w:r>
              <w:rPr>
                <w:b/>
                <w:bCs/>
                <w:color w:val="000000"/>
                <w:sz w:val="20"/>
                <w:szCs w:val="20"/>
              </w:rPr>
              <w:t>Wicked Choccy’s</w:t>
            </w:r>
          </w:p>
        </w:tc>
        <w:tc>
          <w:tcPr>
            <w:tcW w:w="16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5945031" w14:textId="77777777" w:rsidR="00065EE7" w:rsidRDefault="000B0521">
            <w:r>
              <w:rPr>
                <w:color w:val="000000"/>
                <w:sz w:val="20"/>
                <w:szCs w:val="20"/>
              </w:rPr>
              <w:t>32.08°N</w:t>
            </w:r>
          </w:p>
        </w:tc>
        <w:tc>
          <w:tcPr>
            <w:tcW w:w="16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5D53FB1" w14:textId="77777777" w:rsidR="00065EE7" w:rsidRDefault="000B0521">
            <w:r>
              <w:rPr>
                <w:color w:val="000000"/>
                <w:sz w:val="20"/>
                <w:szCs w:val="20"/>
              </w:rPr>
              <w:t>81.09°W</w:t>
            </w:r>
          </w:p>
        </w:tc>
        <w:tc>
          <w:tcPr>
            <w:tcW w:w="38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0F9459D" w14:textId="77777777" w:rsidR="00065EE7" w:rsidRDefault="000B0521">
            <w:r>
              <w:rPr>
                <w:color w:val="000000"/>
                <w:sz w:val="20"/>
                <w:szCs w:val="20"/>
              </w:rPr>
              <w:t>Savannah, Georgia (Southeast)</w:t>
            </w:r>
          </w:p>
        </w:tc>
      </w:tr>
      <w:tr w:rsidR="00065EE7" w14:paraId="5A189BDB"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30B7E88" w14:textId="77777777" w:rsidR="00065EE7" w:rsidRDefault="000B0521">
            <w:r>
              <w:rPr>
                <w:b/>
                <w:bCs/>
                <w:color w:val="000000"/>
                <w:sz w:val="20"/>
                <w:szCs w:val="20"/>
              </w:rPr>
              <w:t>Sugar Shack</w:t>
            </w:r>
          </w:p>
        </w:tc>
        <w:tc>
          <w:tcPr>
            <w:tcW w:w="16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B0201FF" w14:textId="77777777" w:rsidR="00065EE7" w:rsidRDefault="000B0521">
            <w:r>
              <w:rPr>
                <w:color w:val="000000"/>
                <w:sz w:val="20"/>
                <w:szCs w:val="20"/>
              </w:rPr>
              <w:t>48.12°N</w:t>
            </w:r>
          </w:p>
        </w:tc>
        <w:tc>
          <w:tcPr>
            <w:tcW w:w="16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7135E45" w14:textId="77777777" w:rsidR="00065EE7" w:rsidRDefault="000B0521">
            <w:r>
              <w:rPr>
                <w:color w:val="000000"/>
                <w:sz w:val="20"/>
                <w:szCs w:val="20"/>
              </w:rPr>
              <w:t>96.18°W</w:t>
            </w:r>
          </w:p>
        </w:tc>
        <w:tc>
          <w:tcPr>
            <w:tcW w:w="3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D142D40" w14:textId="77777777" w:rsidR="00065EE7" w:rsidRDefault="000B0521">
            <w:r>
              <w:rPr>
                <w:color w:val="000000"/>
                <w:sz w:val="20"/>
                <w:szCs w:val="20"/>
              </w:rPr>
              <w:t>Warren, Minnesota (North Central)</w:t>
            </w:r>
          </w:p>
        </w:tc>
      </w:tr>
      <w:tr w:rsidR="00065EE7" w14:paraId="2EE2AF06"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D2015D1" w14:textId="77777777" w:rsidR="00065EE7" w:rsidRDefault="000B0521">
            <w:r>
              <w:rPr>
                <w:b/>
                <w:bCs/>
                <w:color w:val="000000"/>
                <w:sz w:val="20"/>
                <w:szCs w:val="20"/>
              </w:rPr>
              <w:t>Secret Factory</w:t>
            </w:r>
          </w:p>
        </w:tc>
        <w:tc>
          <w:tcPr>
            <w:tcW w:w="16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2F1FD64" w14:textId="77777777" w:rsidR="00065EE7" w:rsidRDefault="000B0521">
            <w:r>
              <w:rPr>
                <w:color w:val="000000"/>
                <w:sz w:val="20"/>
                <w:szCs w:val="20"/>
              </w:rPr>
              <w:t>41.45°N</w:t>
            </w:r>
          </w:p>
        </w:tc>
        <w:tc>
          <w:tcPr>
            <w:tcW w:w="16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892D8F2" w14:textId="77777777" w:rsidR="00065EE7" w:rsidRDefault="000B0521">
            <w:r>
              <w:rPr>
                <w:color w:val="000000"/>
                <w:sz w:val="20"/>
                <w:szCs w:val="20"/>
              </w:rPr>
              <w:t>90.57°W</w:t>
            </w:r>
          </w:p>
        </w:tc>
        <w:tc>
          <w:tcPr>
            <w:tcW w:w="38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49979CF" w14:textId="77777777" w:rsidR="00065EE7" w:rsidRDefault="000B0521">
            <w:r>
              <w:rPr>
                <w:color w:val="000000"/>
                <w:sz w:val="20"/>
                <w:szCs w:val="20"/>
              </w:rPr>
              <w:t>Milan, Illinois (Midwest)</w:t>
            </w:r>
          </w:p>
        </w:tc>
      </w:tr>
      <w:tr w:rsidR="00065EE7" w14:paraId="4C887E7B"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9615531" w14:textId="77777777" w:rsidR="00065EE7" w:rsidRDefault="000B0521">
            <w:r>
              <w:rPr>
                <w:b/>
                <w:bCs/>
                <w:color w:val="000000"/>
                <w:sz w:val="20"/>
                <w:szCs w:val="20"/>
              </w:rPr>
              <w:t>The Other Factory</w:t>
            </w:r>
          </w:p>
        </w:tc>
        <w:tc>
          <w:tcPr>
            <w:tcW w:w="16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60E14BD" w14:textId="77777777" w:rsidR="00065EE7" w:rsidRDefault="000B0521">
            <w:r>
              <w:rPr>
                <w:color w:val="000000"/>
                <w:sz w:val="20"/>
                <w:szCs w:val="20"/>
              </w:rPr>
              <w:t>35.12°N</w:t>
            </w:r>
          </w:p>
        </w:tc>
        <w:tc>
          <w:tcPr>
            <w:tcW w:w="16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53E6BA1" w14:textId="77777777" w:rsidR="00065EE7" w:rsidRDefault="000B0521">
            <w:r>
              <w:rPr>
                <w:color w:val="000000"/>
                <w:sz w:val="20"/>
                <w:szCs w:val="20"/>
              </w:rPr>
              <w:t>89.97°W</w:t>
            </w:r>
          </w:p>
        </w:tc>
        <w:tc>
          <w:tcPr>
            <w:tcW w:w="3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6B3D894" w14:textId="77777777" w:rsidR="00065EE7" w:rsidRDefault="000B0521">
            <w:r>
              <w:rPr>
                <w:color w:val="000000"/>
                <w:sz w:val="20"/>
                <w:szCs w:val="20"/>
              </w:rPr>
              <w:t>Memphis, Tennessee (Mid-South)</w:t>
            </w:r>
          </w:p>
        </w:tc>
      </w:tr>
    </w:tbl>
    <w:p w14:paraId="2B6910EC" w14:textId="77777777" w:rsidR="00065EE7" w:rsidRDefault="00065EE7">
      <w:pPr>
        <w:spacing w:before="160" w:after="160"/>
      </w:pPr>
    </w:p>
    <w:p w14:paraId="78BAF836" w14:textId="77777777" w:rsidR="00065EE7" w:rsidRDefault="000B0521">
      <w:pPr>
        <w:spacing w:before="120" w:after="60"/>
      </w:pPr>
      <w:r>
        <w:rPr>
          <w:b/>
          <w:bCs/>
          <w:color w:val="1F3864"/>
        </w:rPr>
        <w:t>TABLE 4: Product-to-Factory Mapping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4960"/>
        <w:gridCol w:w="2800"/>
      </w:tblGrid>
      <w:tr w:rsidR="00065EE7" w14:paraId="146B95F6" w14:textId="77777777">
        <w:tc>
          <w:tcPr>
            <w:tcW w:w="1600" w:type="dxa"/>
            <w:tcBorders>
              <w:top w:val="single" w:sz="4" w:space="0" w:color="1F3864"/>
              <w:left w:val="single" w:sz="1" w:space="0" w:color="CCCCCC"/>
              <w:bottom w:val="single" w:sz="4" w:space="0" w:color="1F3864"/>
              <w:right w:val="single" w:sz="1" w:space="0" w:color="CCCCCC"/>
            </w:tcBorders>
            <w:shd w:val="clear" w:color="auto" w:fill="1F3864"/>
            <w:tcMar>
              <w:top w:w="80" w:type="dxa"/>
              <w:left w:w="120" w:type="dxa"/>
              <w:bottom w:w="80" w:type="dxa"/>
              <w:right w:w="120" w:type="dxa"/>
            </w:tcMar>
            <w:vAlign w:val="center"/>
          </w:tcPr>
          <w:p w14:paraId="37D11E96" w14:textId="77777777" w:rsidR="00065EE7" w:rsidRDefault="000B0521">
            <w:r>
              <w:rPr>
                <w:b/>
                <w:bCs/>
                <w:color w:val="FFFFFF"/>
                <w:sz w:val="20"/>
                <w:szCs w:val="20"/>
              </w:rPr>
              <w:t>Division</w:t>
            </w:r>
          </w:p>
        </w:tc>
        <w:tc>
          <w:tcPr>
            <w:tcW w:w="4960" w:type="dxa"/>
            <w:tcBorders>
              <w:top w:val="single" w:sz="4" w:space="0" w:color="1F3864"/>
              <w:left w:val="single" w:sz="1" w:space="0" w:color="CCCCCC"/>
              <w:bottom w:val="single" w:sz="4" w:space="0" w:color="1F3864"/>
              <w:right w:val="single" w:sz="1" w:space="0" w:color="CCCCCC"/>
            </w:tcBorders>
            <w:shd w:val="clear" w:color="auto" w:fill="1F3864"/>
            <w:tcMar>
              <w:top w:w="80" w:type="dxa"/>
              <w:left w:w="120" w:type="dxa"/>
              <w:bottom w:w="80" w:type="dxa"/>
              <w:right w:w="120" w:type="dxa"/>
            </w:tcMar>
            <w:vAlign w:val="center"/>
          </w:tcPr>
          <w:p w14:paraId="6C8F3AC7" w14:textId="77777777" w:rsidR="00065EE7" w:rsidRDefault="000B0521">
            <w:r>
              <w:rPr>
                <w:b/>
                <w:bCs/>
                <w:color w:val="FFFFFF"/>
                <w:sz w:val="20"/>
                <w:szCs w:val="20"/>
              </w:rPr>
              <w:t>Product Name(s)</w:t>
            </w:r>
          </w:p>
        </w:tc>
        <w:tc>
          <w:tcPr>
            <w:tcW w:w="2800" w:type="dxa"/>
            <w:tcBorders>
              <w:top w:val="single" w:sz="4" w:space="0" w:color="1F3864"/>
              <w:left w:val="single" w:sz="1" w:space="0" w:color="CCCCCC"/>
              <w:bottom w:val="single" w:sz="4" w:space="0" w:color="1F3864"/>
              <w:right w:val="single" w:sz="1" w:space="0" w:color="CCCCCC"/>
            </w:tcBorders>
            <w:shd w:val="clear" w:color="auto" w:fill="1F3864"/>
            <w:tcMar>
              <w:top w:w="80" w:type="dxa"/>
              <w:left w:w="120" w:type="dxa"/>
              <w:bottom w:w="80" w:type="dxa"/>
              <w:right w:w="120" w:type="dxa"/>
            </w:tcMar>
            <w:vAlign w:val="center"/>
          </w:tcPr>
          <w:p w14:paraId="4DCEDFC6" w14:textId="77777777" w:rsidR="00065EE7" w:rsidRDefault="000B0521">
            <w:r>
              <w:rPr>
                <w:b/>
                <w:bCs/>
                <w:color w:val="FFFFFF"/>
                <w:sz w:val="20"/>
                <w:szCs w:val="20"/>
              </w:rPr>
              <w:t>Factory Origin</w:t>
            </w:r>
          </w:p>
        </w:tc>
      </w:tr>
      <w:tr w:rsidR="00065EE7" w14:paraId="11DD2B6C"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E64A879" w14:textId="77777777" w:rsidR="00065EE7" w:rsidRDefault="000B0521">
            <w:r>
              <w:rPr>
                <w:b/>
                <w:bCs/>
                <w:color w:val="000000"/>
                <w:sz w:val="20"/>
                <w:szCs w:val="20"/>
              </w:rPr>
              <w:t>Chocolate</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6A02D4E" w14:textId="77777777" w:rsidR="00065EE7" w:rsidRDefault="000B0521">
            <w:r>
              <w:rPr>
                <w:color w:val="000000"/>
                <w:sz w:val="20"/>
                <w:szCs w:val="20"/>
              </w:rPr>
              <w:t>Wonka Bar — Nutty Crunch Surprise, Fudge Mallows, Scrumdiddlyumptious</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9F6F335" w14:textId="77777777" w:rsidR="00065EE7" w:rsidRDefault="000B0521">
            <w:r>
              <w:rPr>
                <w:color w:val="000000"/>
                <w:sz w:val="20"/>
                <w:szCs w:val="20"/>
              </w:rPr>
              <w:t>Lot’s O’ Nuts</w:t>
            </w:r>
          </w:p>
        </w:tc>
      </w:tr>
      <w:tr w:rsidR="00065EE7" w14:paraId="7AC06736" w14:textId="77777777">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CD788C0" w14:textId="77777777" w:rsidR="00065EE7" w:rsidRDefault="000B0521">
            <w:r>
              <w:rPr>
                <w:b/>
                <w:bCs/>
                <w:color w:val="000000"/>
                <w:sz w:val="20"/>
                <w:szCs w:val="20"/>
              </w:rPr>
              <w:t>Chocolate</w:t>
            </w:r>
          </w:p>
        </w:tc>
        <w:tc>
          <w:tcPr>
            <w:tcW w:w="4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3A628A2" w14:textId="77777777" w:rsidR="00065EE7" w:rsidRDefault="000B0521">
            <w:r>
              <w:rPr>
                <w:color w:val="000000"/>
                <w:sz w:val="20"/>
                <w:szCs w:val="20"/>
              </w:rPr>
              <w:t>Wonka Bar — Milk Chocolate, Triple Dazzle Caramel</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871A47F" w14:textId="77777777" w:rsidR="00065EE7" w:rsidRDefault="000B0521">
            <w:r>
              <w:rPr>
                <w:color w:val="000000"/>
                <w:sz w:val="20"/>
                <w:szCs w:val="20"/>
              </w:rPr>
              <w:t>Wicked Choccy’s</w:t>
            </w:r>
          </w:p>
        </w:tc>
      </w:tr>
      <w:tr w:rsidR="00065EE7" w14:paraId="47ACE3FF"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24482F8" w14:textId="77777777" w:rsidR="00065EE7" w:rsidRDefault="000B0521">
            <w:r>
              <w:rPr>
                <w:b/>
                <w:bCs/>
                <w:color w:val="000000"/>
                <w:sz w:val="20"/>
                <w:szCs w:val="20"/>
              </w:rPr>
              <w:t>Sugar</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96143C7" w14:textId="77777777" w:rsidR="00065EE7" w:rsidRDefault="000B0521">
            <w:r>
              <w:rPr>
                <w:color w:val="000000"/>
                <w:sz w:val="20"/>
                <w:szCs w:val="20"/>
              </w:rPr>
              <w:t xml:space="preserve">Laffy Taffy, </w:t>
            </w:r>
            <w:proofErr w:type="spellStart"/>
            <w:r>
              <w:rPr>
                <w:color w:val="000000"/>
                <w:sz w:val="20"/>
                <w:szCs w:val="20"/>
              </w:rPr>
              <w:t>SweeTARTS</w:t>
            </w:r>
            <w:proofErr w:type="spellEnd"/>
            <w:r>
              <w:rPr>
                <w:color w:val="000000"/>
                <w:sz w:val="20"/>
                <w:szCs w:val="20"/>
              </w:rPr>
              <w:t>, Nerds, Fun Dip</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372016A" w14:textId="77777777" w:rsidR="00065EE7" w:rsidRDefault="000B0521">
            <w:r>
              <w:rPr>
                <w:color w:val="000000"/>
                <w:sz w:val="20"/>
                <w:szCs w:val="20"/>
              </w:rPr>
              <w:t>Sugar Shack</w:t>
            </w:r>
          </w:p>
        </w:tc>
      </w:tr>
      <w:tr w:rsidR="00065EE7" w14:paraId="0A21D0A3" w14:textId="77777777">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EB39915" w14:textId="77777777" w:rsidR="00065EE7" w:rsidRDefault="000B0521">
            <w:r>
              <w:rPr>
                <w:b/>
                <w:bCs/>
                <w:color w:val="000000"/>
                <w:sz w:val="20"/>
                <w:szCs w:val="20"/>
              </w:rPr>
              <w:t>Sugar</w:t>
            </w:r>
          </w:p>
        </w:tc>
        <w:tc>
          <w:tcPr>
            <w:tcW w:w="4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B04A699" w14:textId="77777777" w:rsidR="00065EE7" w:rsidRDefault="000B0521">
            <w:r>
              <w:rPr>
                <w:color w:val="000000"/>
                <w:sz w:val="20"/>
                <w:szCs w:val="20"/>
              </w:rPr>
              <w:t>Everlasting Gobstopper</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C7831F8" w14:textId="77777777" w:rsidR="00065EE7" w:rsidRDefault="000B0521">
            <w:r>
              <w:rPr>
                <w:color w:val="000000"/>
                <w:sz w:val="20"/>
                <w:szCs w:val="20"/>
              </w:rPr>
              <w:t>Secret Factory</w:t>
            </w:r>
          </w:p>
        </w:tc>
      </w:tr>
      <w:tr w:rsidR="00065EE7" w14:paraId="63DCAD57"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E4DB303" w14:textId="77777777" w:rsidR="00065EE7" w:rsidRDefault="000B0521">
            <w:r>
              <w:rPr>
                <w:b/>
                <w:bCs/>
                <w:color w:val="000000"/>
                <w:sz w:val="20"/>
                <w:szCs w:val="20"/>
              </w:rPr>
              <w:t>Sugar</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5D963F7" w14:textId="77777777" w:rsidR="00065EE7" w:rsidRDefault="000B0521">
            <w:r>
              <w:rPr>
                <w:color w:val="000000"/>
                <w:sz w:val="20"/>
                <w:szCs w:val="20"/>
              </w:rPr>
              <w:t>Hair Toffee</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FDCC775" w14:textId="77777777" w:rsidR="00065EE7" w:rsidRDefault="000B0521">
            <w:r>
              <w:rPr>
                <w:color w:val="000000"/>
                <w:sz w:val="20"/>
                <w:szCs w:val="20"/>
              </w:rPr>
              <w:t>The Other Factory</w:t>
            </w:r>
          </w:p>
        </w:tc>
      </w:tr>
      <w:tr w:rsidR="00065EE7" w14:paraId="083C3B8C" w14:textId="77777777">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3F2DAA5" w14:textId="77777777" w:rsidR="00065EE7" w:rsidRDefault="000B0521">
            <w:r>
              <w:rPr>
                <w:b/>
                <w:bCs/>
                <w:color w:val="000000"/>
                <w:sz w:val="20"/>
                <w:szCs w:val="20"/>
              </w:rPr>
              <w:t>Other</w:t>
            </w:r>
          </w:p>
        </w:tc>
        <w:tc>
          <w:tcPr>
            <w:tcW w:w="4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6BA9EF8" w14:textId="77777777" w:rsidR="00065EE7" w:rsidRDefault="000B0521">
            <w:r>
              <w:rPr>
                <w:color w:val="000000"/>
                <w:sz w:val="20"/>
                <w:szCs w:val="20"/>
              </w:rPr>
              <w:t>Fizzy Lifting Drinks</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0715E52" w14:textId="77777777" w:rsidR="00065EE7" w:rsidRDefault="000B0521">
            <w:r>
              <w:rPr>
                <w:color w:val="000000"/>
                <w:sz w:val="20"/>
                <w:szCs w:val="20"/>
              </w:rPr>
              <w:t>Sugar Shack</w:t>
            </w:r>
          </w:p>
        </w:tc>
      </w:tr>
      <w:tr w:rsidR="00065EE7" w14:paraId="59AE08C4"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9C50F7A" w14:textId="77777777" w:rsidR="00065EE7" w:rsidRDefault="000B0521">
            <w:r>
              <w:rPr>
                <w:b/>
                <w:bCs/>
                <w:color w:val="000000"/>
                <w:sz w:val="20"/>
                <w:szCs w:val="20"/>
              </w:rPr>
              <w:t>Other</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7EF75D6" w14:textId="77777777" w:rsidR="00065EE7" w:rsidRDefault="000B0521">
            <w:proofErr w:type="spellStart"/>
            <w:r>
              <w:rPr>
                <w:color w:val="000000"/>
                <w:sz w:val="20"/>
                <w:szCs w:val="20"/>
              </w:rPr>
              <w:t>Lickable</w:t>
            </w:r>
            <w:proofErr w:type="spellEnd"/>
            <w:r>
              <w:rPr>
                <w:color w:val="000000"/>
                <w:sz w:val="20"/>
                <w:szCs w:val="20"/>
              </w:rPr>
              <w:t xml:space="preserve"> Wallpaper, Wonka Gum</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8888D9F" w14:textId="77777777" w:rsidR="00065EE7" w:rsidRDefault="000B0521">
            <w:r>
              <w:rPr>
                <w:color w:val="000000"/>
                <w:sz w:val="20"/>
                <w:szCs w:val="20"/>
              </w:rPr>
              <w:t>Secret Factory</w:t>
            </w:r>
          </w:p>
        </w:tc>
      </w:tr>
      <w:tr w:rsidR="00065EE7" w14:paraId="2DD528B0" w14:textId="77777777">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49338A6" w14:textId="77777777" w:rsidR="00065EE7" w:rsidRDefault="000B0521">
            <w:r>
              <w:rPr>
                <w:b/>
                <w:bCs/>
                <w:color w:val="000000"/>
                <w:sz w:val="20"/>
                <w:szCs w:val="20"/>
              </w:rPr>
              <w:t>Other</w:t>
            </w:r>
          </w:p>
        </w:tc>
        <w:tc>
          <w:tcPr>
            <w:tcW w:w="4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EF0EBEF" w14:textId="77777777" w:rsidR="00065EE7" w:rsidRDefault="000B0521">
            <w:proofErr w:type="spellStart"/>
            <w:r>
              <w:rPr>
                <w:color w:val="000000"/>
                <w:sz w:val="20"/>
                <w:szCs w:val="20"/>
              </w:rPr>
              <w:t>Kazookles</w:t>
            </w:r>
            <w:proofErr w:type="spellEnd"/>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B97E912" w14:textId="77777777" w:rsidR="00065EE7" w:rsidRDefault="000B0521">
            <w:r>
              <w:rPr>
                <w:color w:val="000000"/>
                <w:sz w:val="20"/>
                <w:szCs w:val="20"/>
              </w:rPr>
              <w:t>The Other Factory</w:t>
            </w:r>
          </w:p>
        </w:tc>
      </w:tr>
    </w:tbl>
    <w:p w14:paraId="6586B6E9" w14:textId="77777777" w:rsidR="00065EE7" w:rsidRDefault="00065EE7">
      <w:pPr>
        <w:spacing w:before="240" w:after="240"/>
      </w:pPr>
    </w:p>
    <w:p w14:paraId="7C23F3B7" w14:textId="77777777" w:rsidR="00065EE7" w:rsidRDefault="000B0521">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065EE7" w14:paraId="3D9D2781" w14:textId="77777777">
        <w:tc>
          <w:tcPr>
            <w:tcW w:w="4560" w:type="dxa"/>
            <w:tcBorders>
              <w:top w:val="none" w:sz="0" w:space="0" w:color="FFFFFF"/>
              <w:left w:val="none" w:sz="0" w:space="0" w:color="FFFFFF"/>
              <w:bottom w:val="none" w:sz="0" w:space="0" w:color="FFFFFF"/>
              <w:right w:val="none" w:sz="0" w:space="0" w:color="FFFFFF"/>
            </w:tcBorders>
            <w:tcMar>
              <w:top w:w="0" w:type="dxa"/>
              <w:left w:w="0" w:type="dxa"/>
              <w:bottom w:w="0" w:type="dxa"/>
              <w:right w:w="160" w:type="dxa"/>
            </w:tcMar>
          </w:tcPr>
          <w:p w14:paraId="0A49A2FA" w14:textId="77777777" w:rsidR="00065EE7" w:rsidRDefault="000B0521">
            <w:pPr>
              <w:pBdr>
                <w:bottom w:val="single" w:sz="6" w:space="1" w:color="2E75B6"/>
              </w:pBdr>
              <w:spacing w:before="280" w:after="100"/>
            </w:pPr>
            <w:r>
              <w:rPr>
                <w:b/>
                <w:bCs/>
                <w:color w:val="1F3864"/>
                <w:sz w:val="26"/>
                <w:szCs w:val="26"/>
              </w:rPr>
              <w:lastRenderedPageBreak/>
              <w:t>7. DISCUSSION</w:t>
            </w:r>
          </w:p>
          <w:p w14:paraId="45FE0F16" w14:textId="77777777" w:rsidR="00065EE7" w:rsidRDefault="000B0521">
            <w:pPr>
              <w:spacing w:before="180" w:after="60"/>
            </w:pPr>
            <w:r>
              <w:rPr>
                <w:b/>
                <w:bCs/>
                <w:i/>
                <w:iCs/>
                <w:color w:val="2E75B6"/>
                <w:sz w:val="23"/>
                <w:szCs w:val="23"/>
              </w:rPr>
              <w:t>7.1 Geographic Factory-Product Linkage</w:t>
            </w:r>
          </w:p>
          <w:p w14:paraId="3E9596A9" w14:textId="77777777" w:rsidR="00065EE7" w:rsidRDefault="000B0521">
            <w:pPr>
              <w:spacing w:before="60" w:after="60" w:line="276" w:lineRule="auto"/>
              <w:jc w:val="both"/>
            </w:pPr>
            <w:r>
              <w:t>A critical structural vulnerability emerges from the product-factory mapping: the entire Chocolate division—Nassau Candy’s highest-revenue product category—relies exclusively on route performance from two factories in Arizona and Georgia. Any systematic carrier underperformance or regional infrastructure disruption along the Southwest or Southeast corridors poses a direct threat to the premium Chocolate portfolio. This concentration of revenue risk within a small number of factory-route combinations mandates elevated carrier oversight and contingency planning for these corridors.</w:t>
            </w:r>
          </w:p>
          <w:p w14:paraId="0BC198CE" w14:textId="77777777" w:rsidR="00065EE7" w:rsidRDefault="00065EE7">
            <w:pPr>
              <w:spacing w:before="80" w:after="80"/>
            </w:pPr>
          </w:p>
          <w:p w14:paraId="1D0FCE49" w14:textId="77777777" w:rsidR="00065EE7" w:rsidRDefault="000B0521">
            <w:pPr>
              <w:spacing w:before="180" w:after="60"/>
            </w:pPr>
            <w:r>
              <w:rPr>
                <w:b/>
                <w:bCs/>
                <w:i/>
                <w:iCs/>
                <w:color w:val="2E75B6"/>
                <w:sz w:val="23"/>
                <w:szCs w:val="23"/>
              </w:rPr>
              <w:t>7.2 The Expedited Shipping ROI Paradox</w:t>
            </w:r>
          </w:p>
          <w:p w14:paraId="026989E2" w14:textId="77777777" w:rsidR="00065EE7" w:rsidRDefault="000B0521">
            <w:pPr>
              <w:spacing w:before="60" w:after="60" w:line="276" w:lineRule="auto"/>
              <w:jc w:val="both"/>
            </w:pPr>
            <w:r>
              <w:t>The ship mode analysis reveals a counterintuitive finding: expedited shipping modes do not deliver proportionally superior outcomes in high-bottleneck geographic zones. In the South region, geographic infrastructure constraints partially offset the operational advantages of First Class and Same Day modes, resulting in a premium cost with diminished speed benefit. A rational procurement policy would restrict expedited mode usage to long-haul routes—where speed advantages are statistically validated—and standardize the remaining routes on Standard Class service.</w:t>
            </w:r>
          </w:p>
          <w:p w14:paraId="25DB61E5" w14:textId="77777777" w:rsidR="00065EE7" w:rsidRDefault="00065EE7">
            <w:pPr>
              <w:spacing w:before="80" w:after="80"/>
            </w:pPr>
          </w:p>
          <w:p w14:paraId="6C4749E9" w14:textId="77777777" w:rsidR="00065EE7" w:rsidRDefault="000B0521">
            <w:pPr>
              <w:spacing w:before="180" w:after="60"/>
            </w:pPr>
            <w:r>
              <w:rPr>
                <w:b/>
                <w:bCs/>
                <w:i/>
                <w:iCs/>
                <w:color w:val="2E75B6"/>
                <w:sz w:val="23"/>
                <w:szCs w:val="23"/>
              </w:rPr>
              <w:t>7.3 Efficiency Score as a Benchmarking Instrument</w:t>
            </w:r>
          </w:p>
          <w:p w14:paraId="05EB5793" w14:textId="77777777" w:rsidR="00065EE7" w:rsidRDefault="000B0521">
            <w:pPr>
              <w:spacing w:before="60" w:after="60" w:line="276" w:lineRule="auto"/>
              <w:jc w:val="both"/>
            </w:pPr>
            <w:r>
              <w:t xml:space="preserve">The composite Efficiency Score addresses a fundamental limitation of raw lead time benchmarking: the inherent penalty imposed on geographically distant routes. By normalizing for both lead time and shipment volume, the score enables objective route comparison across the full network and creates a consistent performance target that logistics </w:t>
            </w:r>
            <w:r>
              <w:lastRenderedPageBreak/>
              <w:t>managers can optimize toward regardless of route geography.</w:t>
            </w:r>
          </w:p>
        </w:tc>
        <w:tc>
          <w:tcPr>
            <w:tcW w:w="4560" w:type="dxa"/>
            <w:tcBorders>
              <w:top w:val="none" w:sz="0" w:space="0" w:color="FFFFFF"/>
              <w:left w:val="none" w:sz="0" w:space="0" w:color="FFFFFF"/>
              <w:bottom w:val="none" w:sz="0" w:space="0" w:color="FFFFFF"/>
              <w:right w:val="none" w:sz="0" w:space="0" w:color="FFFFFF"/>
            </w:tcBorders>
            <w:tcMar>
              <w:top w:w="0" w:type="dxa"/>
              <w:left w:w="160" w:type="dxa"/>
              <w:bottom w:w="0" w:type="dxa"/>
              <w:right w:w="0" w:type="dxa"/>
            </w:tcMar>
          </w:tcPr>
          <w:p w14:paraId="308B537B" w14:textId="77777777" w:rsidR="00065EE7" w:rsidRDefault="000B0521">
            <w:pPr>
              <w:pBdr>
                <w:bottom w:val="single" w:sz="6" w:space="1" w:color="2E75B6"/>
              </w:pBdr>
              <w:spacing w:before="280" w:after="100"/>
            </w:pPr>
            <w:r>
              <w:rPr>
                <w:b/>
                <w:bCs/>
                <w:color w:val="1F3864"/>
                <w:sz w:val="26"/>
                <w:szCs w:val="26"/>
              </w:rPr>
              <w:lastRenderedPageBreak/>
              <w:t>8. STREAMLIT DASHBOARD</w:t>
            </w:r>
          </w:p>
          <w:p w14:paraId="6C0E6E8C" w14:textId="77777777" w:rsidR="00065EE7" w:rsidRDefault="000B0521">
            <w:pPr>
              <w:spacing w:before="60" w:after="60" w:line="276" w:lineRule="auto"/>
              <w:jc w:val="both"/>
            </w:pPr>
            <w:r>
              <w:t xml:space="preserve">All analytical findings have been operationalized into a production-ready </w:t>
            </w:r>
            <w:proofErr w:type="spellStart"/>
            <w:r>
              <w:t>Streamlit</w:t>
            </w:r>
            <w:proofErr w:type="spellEnd"/>
            <w:r>
              <w:t xml:space="preserve"> intelligence platform, providing stakeholders with real-time interactive access to route-level performance data. The dashboard comprises four core modules aligned directly with the project requirements:</w:t>
            </w:r>
          </w:p>
          <w:p w14:paraId="00B3DB09" w14:textId="77777777" w:rsidR="00065EE7" w:rsidRDefault="00065EE7">
            <w:pPr>
              <w:spacing w:before="80" w:after="80"/>
            </w:pPr>
          </w:p>
          <w:p w14:paraId="0EE6AA96" w14:textId="77777777" w:rsidR="00065EE7" w:rsidRDefault="000B0521">
            <w:pPr>
              <w:pStyle w:val="ListParagraph"/>
              <w:numPr>
                <w:ilvl w:val="0"/>
                <w:numId w:val="2"/>
              </w:numPr>
              <w:spacing w:before="40" w:after="40"/>
            </w:pPr>
            <w:r>
              <w:t xml:space="preserve">Route Efficiency Overview: Factory-to-customer route performance </w:t>
            </w:r>
            <w:proofErr w:type="spellStart"/>
            <w:r>
              <w:t>leaderboard</w:t>
            </w:r>
            <w:proofErr w:type="spellEnd"/>
            <w:r>
              <w:t xml:space="preserve"> with Efficiency Score rankings, fastest/slowest route comparison charts, and interactive route volume vs. lead time scatter analysis.</w:t>
            </w:r>
          </w:p>
          <w:p w14:paraId="422AE674" w14:textId="77777777" w:rsidR="00065EE7" w:rsidRDefault="000B0521">
            <w:pPr>
              <w:pStyle w:val="ListParagraph"/>
              <w:numPr>
                <w:ilvl w:val="0"/>
                <w:numId w:val="2"/>
              </w:numPr>
              <w:spacing w:before="40" w:after="40"/>
            </w:pPr>
            <w:r>
              <w:t>Geographic Shipping Map: US choropleth heatmap of average lead time by customer state, bottleneck quadrant analysis identifying high-volume/high-delay states, and regional performance comparison charts.</w:t>
            </w:r>
          </w:p>
          <w:p w14:paraId="02D7CAB2" w14:textId="77777777" w:rsidR="00065EE7" w:rsidRDefault="000B0521">
            <w:pPr>
              <w:pStyle w:val="ListParagraph"/>
              <w:numPr>
                <w:ilvl w:val="0"/>
                <w:numId w:val="2"/>
              </w:numPr>
              <w:spacing w:before="40" w:after="40"/>
            </w:pPr>
            <w:r>
              <w:t>Ship Mode Comparison: Lead time comparison across all four shipping modes, Factory × Ship Mode performance heatmaps, delay rate by mode, and monthly trend analysis.</w:t>
            </w:r>
          </w:p>
          <w:p w14:paraId="2B87C2AA" w14:textId="77777777" w:rsidR="00065EE7" w:rsidRDefault="000B0521">
            <w:pPr>
              <w:pStyle w:val="ListParagraph"/>
              <w:numPr>
                <w:ilvl w:val="0"/>
                <w:numId w:val="2"/>
              </w:numPr>
              <w:spacing w:before="40" w:after="40"/>
            </w:pPr>
            <w:r>
              <w:t>Route Drill-Down: State-level performance insights for any selected factory-to-customer route, order-level shipment timeline with volume and lead time overlay, and individual order records with delay status flags.</w:t>
            </w:r>
          </w:p>
          <w:p w14:paraId="1243CFDA" w14:textId="77777777" w:rsidR="00065EE7" w:rsidRDefault="00065EE7">
            <w:pPr>
              <w:spacing w:before="160" w:after="160"/>
            </w:pPr>
          </w:p>
          <w:p w14:paraId="4E898B60" w14:textId="77777777" w:rsidR="00065EE7" w:rsidRDefault="000B0521">
            <w:pPr>
              <w:pBdr>
                <w:bottom w:val="single" w:sz="6" w:space="1" w:color="2E75B6"/>
              </w:pBdr>
              <w:spacing w:before="280" w:after="100"/>
            </w:pPr>
            <w:r>
              <w:rPr>
                <w:b/>
                <w:bCs/>
                <w:color w:val="1F3864"/>
                <w:sz w:val="26"/>
                <w:szCs w:val="26"/>
              </w:rPr>
              <w:t>9. CONCLUSIONS</w:t>
            </w:r>
          </w:p>
          <w:p w14:paraId="0DB4D006" w14:textId="77777777" w:rsidR="00065EE7" w:rsidRDefault="000B0521">
            <w:pPr>
              <w:spacing w:before="60" w:after="60" w:line="276" w:lineRule="auto"/>
              <w:jc w:val="both"/>
            </w:pPr>
            <w:r>
              <w:t>This study delivers a validated, multi-stage analytical framework that successfully transforms 10,194 raw shipment records from Nassau Candy Distributor into a comprehensive suite of route-level logistics intelligence. Five strategic outcomes were achieved:</w:t>
            </w:r>
          </w:p>
          <w:p w14:paraId="6C9D2A1A" w14:textId="77777777" w:rsidR="00065EE7" w:rsidRDefault="00065EE7">
            <w:pPr>
              <w:spacing w:before="80" w:after="80"/>
            </w:pPr>
          </w:p>
          <w:p w14:paraId="646522ED" w14:textId="77777777" w:rsidR="00065EE7" w:rsidRDefault="000B0521">
            <w:pPr>
              <w:pStyle w:val="ListParagraph"/>
              <w:numPr>
                <w:ilvl w:val="0"/>
                <w:numId w:val="2"/>
              </w:numPr>
              <w:spacing w:before="40" w:after="40"/>
            </w:pPr>
            <w:r>
              <w:t>A production-ready data pipeline with seven auditable, modular processing stages.</w:t>
            </w:r>
          </w:p>
          <w:p w14:paraId="16F9C520" w14:textId="77777777" w:rsidR="00065EE7" w:rsidRDefault="000B0521">
            <w:pPr>
              <w:pStyle w:val="ListParagraph"/>
              <w:numPr>
                <w:ilvl w:val="0"/>
                <w:numId w:val="2"/>
              </w:numPr>
              <w:spacing w:before="40" w:after="40"/>
            </w:pPr>
            <w:r>
              <w:lastRenderedPageBreak/>
              <w:t>A bias-neutralizing composite Efficiency Score enabling objective cross-route benchmarking.</w:t>
            </w:r>
          </w:p>
          <w:p w14:paraId="070C2D1A" w14:textId="77777777" w:rsidR="00065EE7" w:rsidRDefault="000B0521">
            <w:pPr>
              <w:pStyle w:val="ListParagraph"/>
              <w:numPr>
                <w:ilvl w:val="0"/>
                <w:numId w:val="2"/>
              </w:numPr>
              <w:spacing w:before="40" w:after="40"/>
            </w:pPr>
            <w:r>
              <w:t>Geographic bottleneck quantification identifying the South region as the primary congestion zone.</w:t>
            </w:r>
          </w:p>
          <w:p w14:paraId="792AF511" w14:textId="77777777" w:rsidR="00065EE7" w:rsidRDefault="000B0521">
            <w:pPr>
              <w:pStyle w:val="ListParagraph"/>
              <w:numPr>
                <w:ilvl w:val="0"/>
                <w:numId w:val="2"/>
              </w:numPr>
              <w:spacing w:before="40" w:after="40"/>
            </w:pPr>
            <w:r>
              <w:t>Product-specific factory dependency mapping revealing critical Chocolate division supply chain vulnerabilities.</w:t>
            </w:r>
          </w:p>
          <w:p w14:paraId="000876FB" w14:textId="77777777" w:rsidR="00065EE7" w:rsidRDefault="000B0521">
            <w:pPr>
              <w:pStyle w:val="ListParagraph"/>
              <w:numPr>
                <w:ilvl w:val="0"/>
                <w:numId w:val="2"/>
              </w:numPr>
              <w:spacing w:before="40" w:after="40"/>
            </w:pPr>
            <w:r>
              <w:t xml:space="preserve">A live </w:t>
            </w:r>
            <w:proofErr w:type="spellStart"/>
            <w:r>
              <w:t>Streamlit</w:t>
            </w:r>
            <w:proofErr w:type="spellEnd"/>
            <w:r>
              <w:t xml:space="preserve"> monitoring dashboard enabling real-time logistics performance oversight.</w:t>
            </w:r>
          </w:p>
          <w:p w14:paraId="5FC91A94" w14:textId="77777777" w:rsidR="00065EE7" w:rsidRDefault="00065EE7">
            <w:pPr>
              <w:spacing w:before="80" w:after="80"/>
            </w:pPr>
          </w:p>
          <w:p w14:paraId="410D7DBA" w14:textId="77777777" w:rsidR="00065EE7" w:rsidRDefault="000B0521">
            <w:pPr>
              <w:spacing w:before="60" w:after="60" w:line="276" w:lineRule="auto"/>
              <w:jc w:val="both"/>
            </w:pPr>
            <w:r>
              <w:t>The central finding of this study is that lead time variability in the Nassau Candy network is driven primarily by structural route mismatches and factory-geographic positioning rather than random transit variation. Unpredictability—not mere average slowness—emerges as the dominant cause of customer dissatisfaction, inventory disruption, and operational cost overruns.</w:t>
            </w:r>
          </w:p>
        </w:tc>
      </w:tr>
    </w:tbl>
    <w:p w14:paraId="51015F06" w14:textId="77777777" w:rsidR="00065EE7" w:rsidRDefault="00065EE7">
      <w:pPr>
        <w:spacing w:before="200" w:after="200"/>
      </w:pPr>
    </w:p>
    <w:p w14:paraId="3CA736E1" w14:textId="77777777" w:rsidR="00065EE7" w:rsidRDefault="000B0521">
      <w:pPr>
        <w:pBdr>
          <w:bottom w:val="single" w:sz="6" w:space="1" w:color="2E75B6"/>
        </w:pBdr>
        <w:spacing w:before="280" w:after="100"/>
      </w:pPr>
      <w:r>
        <w:rPr>
          <w:b/>
          <w:bCs/>
          <w:color w:val="1F3864"/>
          <w:sz w:val="26"/>
          <w:szCs w:val="26"/>
        </w:rPr>
        <w:t>10. RECOMMENDATIONS</w:t>
      </w:r>
    </w:p>
    <w:p w14:paraId="75F13D70" w14:textId="77777777" w:rsidR="00065EE7" w:rsidRDefault="000B0521">
      <w:pPr>
        <w:spacing w:before="120" w:after="60"/>
      </w:pPr>
      <w:r>
        <w:rPr>
          <w:b/>
          <w:bCs/>
          <w:color w:val="1F3864"/>
        </w:rPr>
        <w:t>TABLE 5: Strategic Recommendations with KPI Targets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800"/>
        <w:gridCol w:w="1400"/>
        <w:gridCol w:w="1800"/>
        <w:gridCol w:w="1560"/>
      </w:tblGrid>
      <w:tr w:rsidR="00065EE7" w14:paraId="478CA1A4" w14:textId="77777777">
        <w:tc>
          <w:tcPr>
            <w:tcW w:w="1800" w:type="dxa"/>
            <w:tcBorders>
              <w:top w:val="single" w:sz="4" w:space="0" w:color="1F3864"/>
              <w:left w:val="single" w:sz="1" w:space="0" w:color="CCCCCC"/>
              <w:bottom w:val="single" w:sz="4" w:space="0" w:color="1F3864"/>
              <w:right w:val="single" w:sz="1" w:space="0" w:color="CCCCCC"/>
            </w:tcBorders>
            <w:shd w:val="clear" w:color="auto" w:fill="1F3864"/>
            <w:tcMar>
              <w:top w:w="80" w:type="dxa"/>
              <w:left w:w="120" w:type="dxa"/>
              <w:bottom w:w="80" w:type="dxa"/>
              <w:right w:w="120" w:type="dxa"/>
            </w:tcMar>
            <w:vAlign w:val="center"/>
          </w:tcPr>
          <w:p w14:paraId="42CEDA83" w14:textId="77777777" w:rsidR="00065EE7" w:rsidRDefault="000B0521">
            <w:r>
              <w:rPr>
                <w:b/>
                <w:bCs/>
                <w:color w:val="FFFFFF"/>
                <w:sz w:val="20"/>
                <w:szCs w:val="20"/>
              </w:rPr>
              <w:t>Strategic Area</w:t>
            </w:r>
          </w:p>
        </w:tc>
        <w:tc>
          <w:tcPr>
            <w:tcW w:w="2800" w:type="dxa"/>
            <w:tcBorders>
              <w:top w:val="single" w:sz="4" w:space="0" w:color="1F3864"/>
              <w:left w:val="single" w:sz="1" w:space="0" w:color="CCCCCC"/>
              <w:bottom w:val="single" w:sz="4" w:space="0" w:color="1F3864"/>
              <w:right w:val="single" w:sz="1" w:space="0" w:color="CCCCCC"/>
            </w:tcBorders>
            <w:shd w:val="clear" w:color="auto" w:fill="1F3864"/>
            <w:tcMar>
              <w:top w:w="80" w:type="dxa"/>
              <w:left w:w="120" w:type="dxa"/>
              <w:bottom w:w="80" w:type="dxa"/>
              <w:right w:w="120" w:type="dxa"/>
            </w:tcMar>
            <w:vAlign w:val="center"/>
          </w:tcPr>
          <w:p w14:paraId="14A1B1ED" w14:textId="77777777" w:rsidR="00065EE7" w:rsidRDefault="000B0521">
            <w:r>
              <w:rPr>
                <w:b/>
                <w:bCs/>
                <w:color w:val="FFFFFF"/>
                <w:sz w:val="20"/>
                <w:szCs w:val="20"/>
              </w:rPr>
              <w:t>Recommendation</w:t>
            </w:r>
          </w:p>
        </w:tc>
        <w:tc>
          <w:tcPr>
            <w:tcW w:w="1400" w:type="dxa"/>
            <w:tcBorders>
              <w:top w:val="single" w:sz="4" w:space="0" w:color="1F3864"/>
              <w:left w:val="single" w:sz="1" w:space="0" w:color="CCCCCC"/>
              <w:bottom w:val="single" w:sz="4" w:space="0" w:color="1F3864"/>
              <w:right w:val="single" w:sz="1" w:space="0" w:color="CCCCCC"/>
            </w:tcBorders>
            <w:shd w:val="clear" w:color="auto" w:fill="1F3864"/>
            <w:tcMar>
              <w:top w:w="80" w:type="dxa"/>
              <w:left w:w="120" w:type="dxa"/>
              <w:bottom w:w="80" w:type="dxa"/>
              <w:right w:w="120" w:type="dxa"/>
            </w:tcMar>
            <w:vAlign w:val="center"/>
          </w:tcPr>
          <w:p w14:paraId="1A339EE0" w14:textId="77777777" w:rsidR="00065EE7" w:rsidRDefault="000B0521">
            <w:pPr>
              <w:jc w:val="center"/>
            </w:pPr>
            <w:r>
              <w:rPr>
                <w:b/>
                <w:bCs/>
                <w:color w:val="FFFFFF"/>
                <w:sz w:val="20"/>
                <w:szCs w:val="20"/>
              </w:rPr>
              <w:t>Priority</w:t>
            </w:r>
          </w:p>
        </w:tc>
        <w:tc>
          <w:tcPr>
            <w:tcW w:w="1800" w:type="dxa"/>
            <w:tcBorders>
              <w:top w:val="single" w:sz="4" w:space="0" w:color="1F3864"/>
              <w:left w:val="single" w:sz="1" w:space="0" w:color="CCCCCC"/>
              <w:bottom w:val="single" w:sz="4" w:space="0" w:color="1F3864"/>
              <w:right w:val="single" w:sz="1" w:space="0" w:color="CCCCCC"/>
            </w:tcBorders>
            <w:shd w:val="clear" w:color="auto" w:fill="1F3864"/>
            <w:tcMar>
              <w:top w:w="80" w:type="dxa"/>
              <w:left w:w="120" w:type="dxa"/>
              <w:bottom w:w="80" w:type="dxa"/>
              <w:right w:w="120" w:type="dxa"/>
            </w:tcMar>
            <w:vAlign w:val="center"/>
          </w:tcPr>
          <w:p w14:paraId="4962BFAE" w14:textId="77777777" w:rsidR="00065EE7" w:rsidRDefault="000B0521">
            <w:r>
              <w:rPr>
                <w:b/>
                <w:bCs/>
                <w:color w:val="FFFFFF"/>
                <w:sz w:val="20"/>
                <w:szCs w:val="20"/>
              </w:rPr>
              <w:t>Responsible Team</w:t>
            </w:r>
          </w:p>
        </w:tc>
        <w:tc>
          <w:tcPr>
            <w:tcW w:w="1560" w:type="dxa"/>
            <w:tcBorders>
              <w:top w:val="single" w:sz="4" w:space="0" w:color="1F3864"/>
              <w:left w:val="single" w:sz="1" w:space="0" w:color="CCCCCC"/>
              <w:bottom w:val="single" w:sz="4" w:space="0" w:color="1F3864"/>
              <w:right w:val="single" w:sz="1" w:space="0" w:color="CCCCCC"/>
            </w:tcBorders>
            <w:shd w:val="clear" w:color="auto" w:fill="1F3864"/>
            <w:tcMar>
              <w:top w:w="80" w:type="dxa"/>
              <w:left w:w="120" w:type="dxa"/>
              <w:bottom w:w="80" w:type="dxa"/>
              <w:right w:w="120" w:type="dxa"/>
            </w:tcMar>
            <w:vAlign w:val="center"/>
          </w:tcPr>
          <w:p w14:paraId="6C605AEA" w14:textId="77777777" w:rsidR="00065EE7" w:rsidRDefault="000B0521">
            <w:r>
              <w:rPr>
                <w:b/>
                <w:bCs/>
                <w:color w:val="FFFFFF"/>
                <w:sz w:val="20"/>
                <w:szCs w:val="20"/>
              </w:rPr>
              <w:t>KPI Target</w:t>
            </w:r>
          </w:p>
        </w:tc>
      </w:tr>
      <w:tr w:rsidR="00065EE7" w14:paraId="64EA96A2"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921FA4C" w14:textId="77777777" w:rsidR="00065EE7" w:rsidRDefault="000B0521">
            <w:r>
              <w:rPr>
                <w:b/>
                <w:bCs/>
                <w:color w:val="000000"/>
                <w:sz w:val="20"/>
                <w:szCs w:val="20"/>
              </w:rPr>
              <w:t>Route Optimization</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78C4121" w14:textId="77777777" w:rsidR="00065EE7" w:rsidRDefault="000B0521">
            <w:r>
              <w:rPr>
                <w:color w:val="000000"/>
                <w:sz w:val="20"/>
                <w:szCs w:val="20"/>
              </w:rPr>
              <w:t>Mandate immediate performance reviews and carrier renegotiations for all Bottom 10 routes by Efficiency Score.</w:t>
            </w:r>
          </w:p>
        </w:tc>
        <w:tc>
          <w:tcPr>
            <w:tcW w:w="1400" w:type="dxa"/>
            <w:tcBorders>
              <w:top w:val="single" w:sz="1" w:space="0" w:color="CCCCCC"/>
              <w:left w:val="single" w:sz="1" w:space="0" w:color="CCCCCC"/>
              <w:bottom w:val="single" w:sz="1" w:space="0" w:color="CCCCCC"/>
              <w:right w:val="single" w:sz="1" w:space="0" w:color="CCCCCC"/>
            </w:tcBorders>
            <w:shd w:val="clear" w:color="auto" w:fill="FDDCDC"/>
            <w:tcMar>
              <w:top w:w="80" w:type="dxa"/>
              <w:left w:w="120" w:type="dxa"/>
              <w:bottom w:w="80" w:type="dxa"/>
              <w:right w:w="120" w:type="dxa"/>
            </w:tcMar>
            <w:vAlign w:val="center"/>
          </w:tcPr>
          <w:p w14:paraId="4AAB4ADB" w14:textId="77777777" w:rsidR="00065EE7" w:rsidRDefault="000B0521">
            <w:pPr>
              <w:jc w:val="center"/>
            </w:pPr>
            <w:r>
              <w:rPr>
                <w:b/>
                <w:bCs/>
                <w:sz w:val="20"/>
                <w:szCs w:val="20"/>
              </w:rPr>
              <w:t>Critical</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863926B" w14:textId="77777777" w:rsidR="00065EE7" w:rsidRDefault="000B0521">
            <w:r>
              <w:rPr>
                <w:color w:val="000000"/>
                <w:sz w:val="20"/>
                <w:szCs w:val="20"/>
              </w:rPr>
              <w:t>Logistics Operations</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EF4EB11" w14:textId="77777777" w:rsidR="00065EE7" w:rsidRDefault="000B0521">
            <w:r>
              <w:rPr>
                <w:color w:val="000000"/>
                <w:sz w:val="20"/>
                <w:szCs w:val="20"/>
              </w:rPr>
              <w:t>Efficiency Score &gt;70 within 90 days</w:t>
            </w:r>
          </w:p>
        </w:tc>
      </w:tr>
      <w:tr w:rsidR="00065EE7" w14:paraId="36BAE61A"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6A1AC2E" w14:textId="77777777" w:rsidR="00065EE7" w:rsidRDefault="000B0521">
            <w:r>
              <w:rPr>
                <w:b/>
                <w:bCs/>
                <w:color w:val="000000"/>
                <w:sz w:val="20"/>
                <w:szCs w:val="20"/>
              </w:rPr>
              <w:t>Bottleneck Mitigation</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35726B1" w14:textId="77777777" w:rsidR="00065EE7" w:rsidRDefault="000B0521">
            <w:r>
              <w:rPr>
                <w:color w:val="000000"/>
                <w:sz w:val="20"/>
                <w:szCs w:val="20"/>
              </w:rPr>
              <w:t>Reallocate carrier allocation in the South and Northeast corridors to bypass identified geographic friction zones.</w:t>
            </w:r>
          </w:p>
        </w:tc>
        <w:tc>
          <w:tcPr>
            <w:tcW w:w="1400" w:type="dxa"/>
            <w:tcBorders>
              <w:top w:val="single" w:sz="1" w:space="0" w:color="CCCCCC"/>
              <w:left w:val="single" w:sz="1" w:space="0" w:color="CCCCCC"/>
              <w:bottom w:val="single" w:sz="1" w:space="0" w:color="CCCCCC"/>
              <w:right w:val="single" w:sz="1" w:space="0" w:color="CCCCCC"/>
            </w:tcBorders>
            <w:shd w:val="clear" w:color="auto" w:fill="FFF3CD"/>
            <w:tcMar>
              <w:top w:w="80" w:type="dxa"/>
              <w:left w:w="120" w:type="dxa"/>
              <w:bottom w:w="80" w:type="dxa"/>
              <w:right w:w="120" w:type="dxa"/>
            </w:tcMar>
            <w:vAlign w:val="center"/>
          </w:tcPr>
          <w:p w14:paraId="5174472A" w14:textId="77777777" w:rsidR="00065EE7" w:rsidRDefault="000B0521">
            <w:pPr>
              <w:jc w:val="center"/>
            </w:pPr>
            <w:r>
              <w:rPr>
                <w:b/>
                <w:bCs/>
                <w:sz w:val="20"/>
                <w:szCs w:val="20"/>
              </w:rPr>
              <w:t>High</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4DB018D" w14:textId="77777777" w:rsidR="00065EE7" w:rsidRDefault="000B0521">
            <w:r>
              <w:rPr>
                <w:color w:val="000000"/>
                <w:sz w:val="20"/>
                <w:szCs w:val="20"/>
              </w:rPr>
              <w:t>Network Strategy</w:t>
            </w:r>
          </w:p>
        </w:tc>
        <w:tc>
          <w:tcPr>
            <w:tcW w:w="1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0D782A0" w14:textId="77777777" w:rsidR="00065EE7" w:rsidRDefault="000B0521">
            <w:r>
              <w:rPr>
                <w:color w:val="000000"/>
                <w:sz w:val="20"/>
                <w:szCs w:val="20"/>
              </w:rPr>
              <w:t xml:space="preserve">Reduce South </w:t>
            </w:r>
            <w:proofErr w:type="spellStart"/>
            <w:r>
              <w:rPr>
                <w:color w:val="000000"/>
                <w:sz w:val="20"/>
                <w:szCs w:val="20"/>
              </w:rPr>
              <w:t>avg</w:t>
            </w:r>
            <w:proofErr w:type="spellEnd"/>
            <w:r>
              <w:rPr>
                <w:color w:val="000000"/>
                <w:sz w:val="20"/>
                <w:szCs w:val="20"/>
              </w:rPr>
              <w:t xml:space="preserve"> lead time by 1.5 days</w:t>
            </w:r>
          </w:p>
        </w:tc>
      </w:tr>
      <w:tr w:rsidR="00065EE7" w14:paraId="4DA3C332"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B1A5334" w14:textId="77777777" w:rsidR="00065EE7" w:rsidRDefault="000B0521">
            <w:r>
              <w:rPr>
                <w:b/>
                <w:bCs/>
                <w:color w:val="000000"/>
                <w:sz w:val="20"/>
                <w:szCs w:val="20"/>
              </w:rPr>
              <w:t>Ship Mode Policy</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BF6D0F9" w14:textId="77777777" w:rsidR="00065EE7" w:rsidRDefault="000B0521">
            <w:r>
              <w:rPr>
                <w:color w:val="000000"/>
                <w:sz w:val="20"/>
                <w:szCs w:val="20"/>
              </w:rPr>
              <w:t>Restrict Expedited modes to long-haul routes with statistically validated ROI; standardize short-haul on Standard Class.</w:t>
            </w:r>
          </w:p>
        </w:tc>
        <w:tc>
          <w:tcPr>
            <w:tcW w:w="1400" w:type="dxa"/>
            <w:tcBorders>
              <w:top w:val="single" w:sz="1" w:space="0" w:color="CCCCCC"/>
              <w:left w:val="single" w:sz="1" w:space="0" w:color="CCCCCC"/>
              <w:bottom w:val="single" w:sz="1" w:space="0" w:color="CCCCCC"/>
              <w:right w:val="single" w:sz="1" w:space="0" w:color="CCCCCC"/>
            </w:tcBorders>
            <w:shd w:val="clear" w:color="auto" w:fill="FFF3CD"/>
            <w:tcMar>
              <w:top w:w="80" w:type="dxa"/>
              <w:left w:w="120" w:type="dxa"/>
              <w:bottom w:w="80" w:type="dxa"/>
              <w:right w:w="120" w:type="dxa"/>
            </w:tcMar>
            <w:vAlign w:val="center"/>
          </w:tcPr>
          <w:p w14:paraId="46BBCD8D" w14:textId="77777777" w:rsidR="00065EE7" w:rsidRDefault="000B0521">
            <w:pPr>
              <w:jc w:val="center"/>
            </w:pPr>
            <w:r>
              <w:rPr>
                <w:b/>
                <w:bCs/>
                <w:sz w:val="20"/>
                <w:szCs w:val="20"/>
              </w:rPr>
              <w:t>High</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DC9860C" w14:textId="77777777" w:rsidR="00065EE7" w:rsidRDefault="000B0521">
            <w:r>
              <w:rPr>
                <w:color w:val="000000"/>
                <w:sz w:val="20"/>
                <w:szCs w:val="20"/>
              </w:rPr>
              <w:t>Procurement &amp; Finance</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7283C73" w14:textId="77777777" w:rsidR="00065EE7" w:rsidRDefault="000B0521">
            <w:r>
              <w:rPr>
                <w:color w:val="000000"/>
                <w:sz w:val="20"/>
                <w:szCs w:val="20"/>
              </w:rPr>
              <w:t>Reduce expedite spend by est. 20%</w:t>
            </w:r>
          </w:p>
        </w:tc>
      </w:tr>
      <w:tr w:rsidR="00065EE7" w14:paraId="5451B1F7"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E843094" w14:textId="77777777" w:rsidR="00065EE7" w:rsidRDefault="000B0521">
            <w:r>
              <w:rPr>
                <w:b/>
                <w:bCs/>
                <w:color w:val="000000"/>
                <w:sz w:val="20"/>
                <w:szCs w:val="20"/>
              </w:rPr>
              <w:t>Delay Monitoring</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0486852" w14:textId="77777777" w:rsidR="00065EE7" w:rsidRDefault="000B0521">
            <w:r>
              <w:rPr>
                <w:color w:val="000000"/>
                <w:sz w:val="20"/>
                <w:szCs w:val="20"/>
              </w:rPr>
              <w:t xml:space="preserve">Integrate Delay Frequency and Efficiency Score into monthly executive scorecards via the </w:t>
            </w:r>
            <w:proofErr w:type="spellStart"/>
            <w:r>
              <w:rPr>
                <w:color w:val="000000"/>
                <w:sz w:val="20"/>
                <w:szCs w:val="20"/>
              </w:rPr>
              <w:t>Streamlit</w:t>
            </w:r>
            <w:proofErr w:type="spellEnd"/>
            <w:r>
              <w:rPr>
                <w:color w:val="000000"/>
                <w:sz w:val="20"/>
                <w:szCs w:val="20"/>
              </w:rPr>
              <w:t xml:space="preserve"> dashboard.</w:t>
            </w:r>
          </w:p>
        </w:tc>
        <w:tc>
          <w:tcPr>
            <w:tcW w:w="1400" w:type="dxa"/>
            <w:tcBorders>
              <w:top w:val="single" w:sz="1" w:space="0" w:color="CCCCCC"/>
              <w:left w:val="single" w:sz="1" w:space="0" w:color="CCCCCC"/>
              <w:bottom w:val="single" w:sz="1" w:space="0" w:color="CCCCCC"/>
              <w:right w:val="single" w:sz="1" w:space="0" w:color="CCCCCC"/>
            </w:tcBorders>
            <w:shd w:val="clear" w:color="auto" w:fill="D4EDDA"/>
            <w:tcMar>
              <w:top w:w="80" w:type="dxa"/>
              <w:left w:w="120" w:type="dxa"/>
              <w:bottom w:w="80" w:type="dxa"/>
              <w:right w:w="120" w:type="dxa"/>
            </w:tcMar>
            <w:vAlign w:val="center"/>
          </w:tcPr>
          <w:p w14:paraId="04D6E15E" w14:textId="77777777" w:rsidR="00065EE7" w:rsidRDefault="000B0521">
            <w:pPr>
              <w:jc w:val="center"/>
            </w:pPr>
            <w:r>
              <w:rPr>
                <w:b/>
                <w:bCs/>
                <w:sz w:val="20"/>
                <w:szCs w:val="20"/>
              </w:rPr>
              <w:t>Medium</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29082E1" w14:textId="77777777" w:rsidR="00065EE7" w:rsidRDefault="000B0521">
            <w:r>
              <w:rPr>
                <w:color w:val="000000"/>
                <w:sz w:val="20"/>
                <w:szCs w:val="20"/>
              </w:rPr>
              <w:t>Analytics &amp; BI</w:t>
            </w:r>
          </w:p>
        </w:tc>
        <w:tc>
          <w:tcPr>
            <w:tcW w:w="1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CF9C043" w14:textId="77777777" w:rsidR="00065EE7" w:rsidRDefault="000B0521">
            <w:r>
              <w:rPr>
                <w:color w:val="000000"/>
                <w:sz w:val="20"/>
                <w:szCs w:val="20"/>
              </w:rPr>
              <w:t>Dashboard live within 30 days</w:t>
            </w:r>
          </w:p>
        </w:tc>
      </w:tr>
      <w:tr w:rsidR="00065EE7" w14:paraId="28018D29"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D253296" w14:textId="77777777" w:rsidR="00065EE7" w:rsidRDefault="000B0521">
            <w:r>
              <w:rPr>
                <w:b/>
                <w:bCs/>
                <w:color w:val="000000"/>
                <w:sz w:val="20"/>
                <w:szCs w:val="20"/>
              </w:rPr>
              <w:lastRenderedPageBreak/>
              <w:t>Seasonal Planning</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71286DF" w14:textId="77777777" w:rsidR="00065EE7" w:rsidRDefault="000B0521">
            <w:r>
              <w:rPr>
                <w:color w:val="000000"/>
                <w:sz w:val="20"/>
                <w:szCs w:val="20"/>
              </w:rPr>
              <w:t>Pre-position Sugar division inventory at MN/IL facilities ahead of identified peak demand windows to buffer lead times.</w:t>
            </w:r>
          </w:p>
        </w:tc>
        <w:tc>
          <w:tcPr>
            <w:tcW w:w="1400" w:type="dxa"/>
            <w:tcBorders>
              <w:top w:val="single" w:sz="1" w:space="0" w:color="CCCCCC"/>
              <w:left w:val="single" w:sz="1" w:space="0" w:color="CCCCCC"/>
              <w:bottom w:val="single" w:sz="1" w:space="0" w:color="CCCCCC"/>
              <w:right w:val="single" w:sz="1" w:space="0" w:color="CCCCCC"/>
            </w:tcBorders>
            <w:shd w:val="clear" w:color="auto" w:fill="D4EDDA"/>
            <w:tcMar>
              <w:top w:w="80" w:type="dxa"/>
              <w:left w:w="120" w:type="dxa"/>
              <w:bottom w:w="80" w:type="dxa"/>
              <w:right w:w="120" w:type="dxa"/>
            </w:tcMar>
            <w:vAlign w:val="center"/>
          </w:tcPr>
          <w:p w14:paraId="1CCD05CF" w14:textId="77777777" w:rsidR="00065EE7" w:rsidRDefault="000B0521">
            <w:pPr>
              <w:jc w:val="center"/>
            </w:pPr>
            <w:r>
              <w:rPr>
                <w:b/>
                <w:bCs/>
                <w:sz w:val="20"/>
                <w:szCs w:val="20"/>
              </w:rPr>
              <w:t>Medium</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064A627" w14:textId="77777777" w:rsidR="00065EE7" w:rsidRDefault="000B0521">
            <w:r>
              <w:rPr>
                <w:color w:val="000000"/>
                <w:sz w:val="20"/>
                <w:szCs w:val="20"/>
              </w:rPr>
              <w:t>Supply Planning</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046D260" w14:textId="77777777" w:rsidR="00065EE7" w:rsidRDefault="000B0521">
            <w:r>
              <w:rPr>
                <w:color w:val="000000"/>
                <w:sz w:val="20"/>
                <w:szCs w:val="20"/>
              </w:rPr>
              <w:t>Zero stock-outs during Q4 peak</w:t>
            </w:r>
          </w:p>
        </w:tc>
      </w:tr>
      <w:tr w:rsidR="00065EE7" w14:paraId="4B9E13CF"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E912F6A" w14:textId="77777777" w:rsidR="00065EE7" w:rsidRDefault="000B0521">
            <w:r>
              <w:rPr>
                <w:b/>
                <w:bCs/>
                <w:color w:val="000000"/>
                <w:sz w:val="20"/>
                <w:szCs w:val="20"/>
              </w:rPr>
              <w:t>Carrier Oversight</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2D4E754" w14:textId="77777777" w:rsidR="00065EE7" w:rsidRDefault="000B0521">
            <w:r>
              <w:rPr>
                <w:color w:val="000000"/>
                <w:sz w:val="20"/>
                <w:szCs w:val="20"/>
              </w:rPr>
              <w:t>Establish SLA review cycles for all carriers serving Bottom 10 routes, with performance improvement plans within 60 days.</w:t>
            </w:r>
          </w:p>
        </w:tc>
        <w:tc>
          <w:tcPr>
            <w:tcW w:w="1400" w:type="dxa"/>
            <w:tcBorders>
              <w:top w:val="single" w:sz="1" w:space="0" w:color="CCCCCC"/>
              <w:left w:val="single" w:sz="1" w:space="0" w:color="CCCCCC"/>
              <w:bottom w:val="single" w:sz="1" w:space="0" w:color="CCCCCC"/>
              <w:right w:val="single" w:sz="1" w:space="0" w:color="CCCCCC"/>
            </w:tcBorders>
            <w:shd w:val="clear" w:color="auto" w:fill="D4EDDA"/>
            <w:tcMar>
              <w:top w:w="80" w:type="dxa"/>
              <w:left w:w="120" w:type="dxa"/>
              <w:bottom w:w="80" w:type="dxa"/>
              <w:right w:w="120" w:type="dxa"/>
            </w:tcMar>
            <w:vAlign w:val="center"/>
          </w:tcPr>
          <w:p w14:paraId="3CBB319F" w14:textId="77777777" w:rsidR="00065EE7" w:rsidRDefault="000B0521">
            <w:pPr>
              <w:jc w:val="center"/>
            </w:pPr>
            <w:r>
              <w:rPr>
                <w:b/>
                <w:bCs/>
                <w:sz w:val="20"/>
                <w:szCs w:val="20"/>
              </w:rPr>
              <w:t>Medium</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46B6BC4" w14:textId="77777777" w:rsidR="00065EE7" w:rsidRDefault="000B0521">
            <w:r>
              <w:rPr>
                <w:color w:val="000000"/>
                <w:sz w:val="20"/>
                <w:szCs w:val="20"/>
              </w:rPr>
              <w:t>Procurement</w:t>
            </w:r>
          </w:p>
        </w:tc>
        <w:tc>
          <w:tcPr>
            <w:tcW w:w="1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812283A" w14:textId="77777777" w:rsidR="00065EE7" w:rsidRDefault="000B0521">
            <w:r>
              <w:rPr>
                <w:color w:val="000000"/>
                <w:sz w:val="20"/>
                <w:szCs w:val="20"/>
              </w:rPr>
              <w:t>SLA compliance &gt;95% on reviewed routes</w:t>
            </w:r>
          </w:p>
        </w:tc>
      </w:tr>
    </w:tbl>
    <w:p w14:paraId="0A6AC4C5" w14:textId="77777777" w:rsidR="00065EE7" w:rsidRDefault="00065EE7">
      <w:pPr>
        <w:spacing w:before="200" w:after="200"/>
      </w:pPr>
    </w:p>
    <w:p w14:paraId="3D0B6181" w14:textId="77777777" w:rsidR="00065EE7" w:rsidRDefault="000B0521">
      <w:pPr>
        <w:pBdr>
          <w:bottom w:val="single" w:sz="6" w:space="1" w:color="2E75B6"/>
        </w:pBdr>
        <w:spacing w:before="280" w:after="100"/>
      </w:pPr>
      <w:r>
        <w:rPr>
          <w:b/>
          <w:bCs/>
          <w:color w:val="1F3864"/>
          <w:sz w:val="26"/>
          <w:szCs w:val="26"/>
        </w:rPr>
        <w:t>11. FUTURE WORK</w:t>
      </w:r>
    </w:p>
    <w:p w14:paraId="78A86495" w14:textId="77777777" w:rsidR="00065EE7" w:rsidRDefault="000B0521">
      <w:pPr>
        <w:spacing w:before="60" w:after="60" w:line="276" w:lineRule="auto"/>
        <w:jc w:val="both"/>
      </w:pPr>
      <w:r>
        <w:t>The findings of this study establish a strong foundation for several high-value extensions. Planned future phases include:</w:t>
      </w:r>
    </w:p>
    <w:p w14:paraId="6F279659" w14:textId="77777777" w:rsidR="00065EE7" w:rsidRDefault="00065EE7">
      <w:pPr>
        <w:spacing w:before="80" w:after="80"/>
      </w:pPr>
    </w:p>
    <w:p w14:paraId="5CBFB5AA" w14:textId="77777777" w:rsidR="00065EE7" w:rsidRDefault="000B0521">
      <w:pPr>
        <w:pStyle w:val="ListParagraph"/>
        <w:numPr>
          <w:ilvl w:val="0"/>
          <w:numId w:val="2"/>
        </w:numPr>
        <w:spacing w:before="40" w:after="40"/>
      </w:pPr>
      <w:r>
        <w:t xml:space="preserve">Customer Satisfaction Correlation: Linking shipment </w:t>
      </w:r>
      <w:proofErr w:type="gramStart"/>
      <w:r>
        <w:t>lead</w:t>
      </w:r>
      <w:proofErr w:type="gramEnd"/>
      <w:r>
        <w:t xml:space="preserve"> times to customer satisfaction scores and churn metrics to quantify the direct revenue impact of logistics underperformance.</w:t>
      </w:r>
    </w:p>
    <w:p w14:paraId="41A912CC" w14:textId="77777777" w:rsidR="00065EE7" w:rsidRDefault="000B0521">
      <w:pPr>
        <w:pStyle w:val="ListParagraph"/>
        <w:numPr>
          <w:ilvl w:val="0"/>
          <w:numId w:val="2"/>
        </w:numPr>
        <w:spacing w:before="40" w:after="40"/>
      </w:pPr>
      <w:r>
        <w:t>Predictive Delay Modelling: Development of gradient-boosted machine learning models to forecast delay probability for any given factory-state-ship mode combination before order fulfilment.</w:t>
      </w:r>
    </w:p>
    <w:p w14:paraId="0E43065C" w14:textId="77777777" w:rsidR="00065EE7" w:rsidRDefault="000B0521">
      <w:pPr>
        <w:pStyle w:val="ListParagraph"/>
        <w:numPr>
          <w:ilvl w:val="0"/>
          <w:numId w:val="2"/>
        </w:numPr>
        <w:spacing w:before="40" w:after="40"/>
      </w:pPr>
      <w:r>
        <w:t>Real-Time Carrier API Integration: Live data feeds from logistics carriers to enable real-time delay detection and proactive customer notification.</w:t>
      </w:r>
    </w:p>
    <w:p w14:paraId="3C57C0A1" w14:textId="77777777" w:rsidR="00065EE7" w:rsidRDefault="000B0521">
      <w:pPr>
        <w:pStyle w:val="ListParagraph"/>
        <w:numPr>
          <w:ilvl w:val="0"/>
          <w:numId w:val="2"/>
        </w:numPr>
        <w:spacing w:before="40" w:after="40"/>
      </w:pPr>
      <w:r>
        <w:t>Cost Optimization Modelling: Linear programming framework to minimize total logistics cost while maintaining defined service-level commitments across all routes.</w:t>
      </w:r>
    </w:p>
    <w:p w14:paraId="0D85A5BA" w14:textId="77777777" w:rsidR="00065EE7" w:rsidRDefault="000B0521">
      <w:pPr>
        <w:pStyle w:val="ListParagraph"/>
        <w:numPr>
          <w:ilvl w:val="0"/>
          <w:numId w:val="2"/>
        </w:numPr>
        <w:spacing w:before="40" w:after="40"/>
      </w:pPr>
      <w:r>
        <w:t>Inventory Pre-Positioning Engine: Demand forecasting integration to automate Sugar division inventory positioning ahead of identified seasonal peak windows.</w:t>
      </w:r>
    </w:p>
    <w:p w14:paraId="5B337DC0" w14:textId="77777777" w:rsidR="00065EE7" w:rsidRDefault="00065EE7">
      <w:pPr>
        <w:spacing w:before="200" w:after="200"/>
      </w:pPr>
    </w:p>
    <w:p w14:paraId="616C1CE5" w14:textId="77777777" w:rsidR="00065EE7" w:rsidRDefault="000B0521">
      <w:pPr>
        <w:spacing w:before="120" w:after="60"/>
      </w:pPr>
      <w:r>
        <w:rPr>
          <w:b/>
          <w:bCs/>
          <w:color w:val="1F3864"/>
        </w:rPr>
        <w:t>TABLE 6: Technology Stack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400"/>
        <w:gridCol w:w="4760"/>
      </w:tblGrid>
      <w:tr w:rsidR="00065EE7" w14:paraId="2BA00FF9" w14:textId="77777777">
        <w:tc>
          <w:tcPr>
            <w:tcW w:w="2200" w:type="dxa"/>
            <w:tcBorders>
              <w:top w:val="single" w:sz="4" w:space="0" w:color="1F3864"/>
              <w:left w:val="single" w:sz="1" w:space="0" w:color="CCCCCC"/>
              <w:bottom w:val="single" w:sz="4" w:space="0" w:color="1F3864"/>
              <w:right w:val="single" w:sz="1" w:space="0" w:color="CCCCCC"/>
            </w:tcBorders>
            <w:shd w:val="clear" w:color="auto" w:fill="1F3864"/>
            <w:tcMar>
              <w:top w:w="80" w:type="dxa"/>
              <w:left w:w="120" w:type="dxa"/>
              <w:bottom w:w="80" w:type="dxa"/>
              <w:right w:w="120" w:type="dxa"/>
            </w:tcMar>
            <w:vAlign w:val="center"/>
          </w:tcPr>
          <w:p w14:paraId="0B9D577C" w14:textId="77777777" w:rsidR="00065EE7" w:rsidRDefault="000B0521">
            <w:r>
              <w:rPr>
                <w:b/>
                <w:bCs/>
                <w:color w:val="FFFFFF"/>
                <w:sz w:val="20"/>
                <w:szCs w:val="20"/>
              </w:rPr>
              <w:t>Technology</w:t>
            </w:r>
          </w:p>
        </w:tc>
        <w:tc>
          <w:tcPr>
            <w:tcW w:w="2400" w:type="dxa"/>
            <w:tcBorders>
              <w:top w:val="single" w:sz="4" w:space="0" w:color="1F3864"/>
              <w:left w:val="single" w:sz="1" w:space="0" w:color="CCCCCC"/>
              <w:bottom w:val="single" w:sz="4" w:space="0" w:color="1F3864"/>
              <w:right w:val="single" w:sz="1" w:space="0" w:color="CCCCCC"/>
            </w:tcBorders>
            <w:shd w:val="clear" w:color="auto" w:fill="1F3864"/>
            <w:tcMar>
              <w:top w:w="80" w:type="dxa"/>
              <w:left w:w="120" w:type="dxa"/>
              <w:bottom w:w="80" w:type="dxa"/>
              <w:right w:w="120" w:type="dxa"/>
            </w:tcMar>
            <w:vAlign w:val="center"/>
          </w:tcPr>
          <w:p w14:paraId="2E31DECE" w14:textId="77777777" w:rsidR="00065EE7" w:rsidRDefault="000B0521">
            <w:r>
              <w:rPr>
                <w:b/>
                <w:bCs/>
                <w:color w:val="FFFFFF"/>
                <w:sz w:val="20"/>
                <w:szCs w:val="20"/>
              </w:rPr>
              <w:t>Category</w:t>
            </w:r>
          </w:p>
        </w:tc>
        <w:tc>
          <w:tcPr>
            <w:tcW w:w="4760" w:type="dxa"/>
            <w:tcBorders>
              <w:top w:val="single" w:sz="4" w:space="0" w:color="1F3864"/>
              <w:left w:val="single" w:sz="1" w:space="0" w:color="CCCCCC"/>
              <w:bottom w:val="single" w:sz="4" w:space="0" w:color="1F3864"/>
              <w:right w:val="single" w:sz="1" w:space="0" w:color="CCCCCC"/>
            </w:tcBorders>
            <w:shd w:val="clear" w:color="auto" w:fill="1F3864"/>
            <w:tcMar>
              <w:top w:w="80" w:type="dxa"/>
              <w:left w:w="120" w:type="dxa"/>
              <w:bottom w:w="80" w:type="dxa"/>
              <w:right w:w="120" w:type="dxa"/>
            </w:tcMar>
            <w:vAlign w:val="center"/>
          </w:tcPr>
          <w:p w14:paraId="4A3D4580" w14:textId="77777777" w:rsidR="00065EE7" w:rsidRDefault="000B0521">
            <w:r>
              <w:rPr>
                <w:b/>
                <w:bCs/>
                <w:color w:val="FFFFFF"/>
                <w:sz w:val="20"/>
                <w:szCs w:val="20"/>
              </w:rPr>
              <w:t>Primary Usage in This Study</w:t>
            </w:r>
          </w:p>
        </w:tc>
      </w:tr>
      <w:tr w:rsidR="00065EE7" w14:paraId="6A11D699"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691A072" w14:textId="77777777" w:rsidR="00065EE7" w:rsidRDefault="000B0521">
            <w:r>
              <w:rPr>
                <w:b/>
                <w:bCs/>
                <w:color w:val="000000"/>
                <w:sz w:val="20"/>
                <w:szCs w:val="20"/>
              </w:rPr>
              <w:t>Python 3.x</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BC4F8DA" w14:textId="77777777" w:rsidR="00065EE7" w:rsidRDefault="000B0521">
            <w:r>
              <w:rPr>
                <w:color w:val="000000"/>
                <w:sz w:val="20"/>
                <w:szCs w:val="20"/>
              </w:rPr>
              <w:t>Core Language</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E8B88F5" w14:textId="77777777" w:rsidR="00065EE7" w:rsidRDefault="000B0521">
            <w:r>
              <w:rPr>
                <w:color w:val="000000"/>
                <w:sz w:val="20"/>
                <w:szCs w:val="20"/>
              </w:rPr>
              <w:t>End-to-end data processing, analytical pipeline, and dashboard development</w:t>
            </w:r>
          </w:p>
        </w:tc>
      </w:tr>
      <w:tr w:rsidR="00065EE7" w14:paraId="65FEE769"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962A33E" w14:textId="77777777" w:rsidR="00065EE7" w:rsidRDefault="000B0521">
            <w:r>
              <w:rPr>
                <w:b/>
                <w:bCs/>
                <w:color w:val="000000"/>
                <w:sz w:val="20"/>
                <w:szCs w:val="20"/>
              </w:rPr>
              <w:t>Pandas</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81D5E6F" w14:textId="77777777" w:rsidR="00065EE7" w:rsidRDefault="000B0521">
            <w:r>
              <w:rPr>
                <w:color w:val="000000"/>
                <w:sz w:val="20"/>
                <w:szCs w:val="20"/>
              </w:rPr>
              <w:t>Data Manipulation</w:t>
            </w:r>
          </w:p>
        </w:tc>
        <w:tc>
          <w:tcPr>
            <w:tcW w:w="4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9BCAB28" w14:textId="77777777" w:rsidR="00065EE7" w:rsidRDefault="000B0521">
            <w:r>
              <w:rPr>
                <w:color w:val="000000"/>
                <w:sz w:val="20"/>
                <w:szCs w:val="20"/>
              </w:rPr>
              <w:t>Data cleaning, route aggregation, feature engineering, and KPI computation</w:t>
            </w:r>
          </w:p>
        </w:tc>
      </w:tr>
      <w:tr w:rsidR="00065EE7" w14:paraId="7A904AA8"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0084BA" w14:textId="77777777" w:rsidR="00065EE7" w:rsidRDefault="000B0521">
            <w:r>
              <w:rPr>
                <w:b/>
                <w:bCs/>
                <w:color w:val="000000"/>
                <w:sz w:val="20"/>
                <w:szCs w:val="20"/>
              </w:rPr>
              <w:t>NumPy</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1F0CEC0" w14:textId="77777777" w:rsidR="00065EE7" w:rsidRDefault="000B0521">
            <w:r>
              <w:rPr>
                <w:color w:val="000000"/>
                <w:sz w:val="20"/>
                <w:szCs w:val="20"/>
              </w:rPr>
              <w:t>Numerical Computing</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E388D45" w14:textId="77777777" w:rsidR="00065EE7" w:rsidRDefault="000B0521">
            <w:r>
              <w:rPr>
                <w:color w:val="000000"/>
                <w:sz w:val="20"/>
                <w:szCs w:val="20"/>
              </w:rPr>
              <w:t>Vectorized operations, statistical threshold derivation, and normalization</w:t>
            </w:r>
          </w:p>
        </w:tc>
      </w:tr>
      <w:tr w:rsidR="00065EE7" w14:paraId="5E1EB61F"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C8D10E3" w14:textId="77777777" w:rsidR="00065EE7" w:rsidRDefault="000B0521">
            <w:r>
              <w:rPr>
                <w:b/>
                <w:bCs/>
                <w:color w:val="000000"/>
                <w:sz w:val="20"/>
                <w:szCs w:val="20"/>
              </w:rPr>
              <w:t>Matplotlib</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ACD7FB3" w14:textId="77777777" w:rsidR="00065EE7" w:rsidRDefault="000B0521">
            <w:r>
              <w:rPr>
                <w:color w:val="000000"/>
                <w:sz w:val="20"/>
                <w:szCs w:val="20"/>
              </w:rPr>
              <w:t>Visualization</w:t>
            </w:r>
          </w:p>
        </w:tc>
        <w:tc>
          <w:tcPr>
            <w:tcW w:w="4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8A8C873" w14:textId="77777777" w:rsidR="00065EE7" w:rsidRDefault="000B0521">
            <w:r>
              <w:rPr>
                <w:color w:val="000000"/>
                <w:sz w:val="20"/>
                <w:szCs w:val="20"/>
              </w:rPr>
              <w:t>Static chart generation for trend lines and distribution analysis</w:t>
            </w:r>
          </w:p>
        </w:tc>
      </w:tr>
      <w:tr w:rsidR="00065EE7" w14:paraId="11A38DCB"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B3DB500" w14:textId="77777777" w:rsidR="00065EE7" w:rsidRDefault="000B0521">
            <w:r>
              <w:rPr>
                <w:b/>
                <w:bCs/>
                <w:color w:val="000000"/>
                <w:sz w:val="20"/>
                <w:szCs w:val="20"/>
              </w:rPr>
              <w:t>Seaborn</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955B6DC" w14:textId="77777777" w:rsidR="00065EE7" w:rsidRDefault="000B0521">
            <w:r>
              <w:rPr>
                <w:color w:val="000000"/>
                <w:sz w:val="20"/>
                <w:szCs w:val="20"/>
              </w:rPr>
              <w:t>Statistical Viz</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8550B6A" w14:textId="77777777" w:rsidR="00065EE7" w:rsidRDefault="000B0521">
            <w:r>
              <w:rPr>
                <w:color w:val="000000"/>
                <w:sz w:val="20"/>
                <w:szCs w:val="20"/>
              </w:rPr>
              <w:t>Correlation heatmaps, box plots, and multi-variate statistical charts</w:t>
            </w:r>
          </w:p>
        </w:tc>
      </w:tr>
      <w:tr w:rsidR="00065EE7" w14:paraId="19019103"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A8365A2" w14:textId="77777777" w:rsidR="00065EE7" w:rsidRDefault="000B0521">
            <w:proofErr w:type="spellStart"/>
            <w:r>
              <w:rPr>
                <w:b/>
                <w:bCs/>
                <w:color w:val="000000"/>
                <w:sz w:val="20"/>
                <w:szCs w:val="20"/>
              </w:rPr>
              <w:t>Plotly</w:t>
            </w:r>
            <w:proofErr w:type="spellEnd"/>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DDEDD3B" w14:textId="77777777" w:rsidR="00065EE7" w:rsidRDefault="000B0521">
            <w:r>
              <w:rPr>
                <w:color w:val="000000"/>
                <w:sz w:val="20"/>
                <w:szCs w:val="20"/>
              </w:rPr>
              <w:t>Interactive Viz</w:t>
            </w:r>
          </w:p>
        </w:tc>
        <w:tc>
          <w:tcPr>
            <w:tcW w:w="4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9D9F10E" w14:textId="77777777" w:rsidR="00065EE7" w:rsidRDefault="000B0521">
            <w:r>
              <w:rPr>
                <w:color w:val="000000"/>
                <w:sz w:val="20"/>
                <w:szCs w:val="20"/>
              </w:rPr>
              <w:t>Interactive charts, US choropleth maps, and dashboard visualizations</w:t>
            </w:r>
          </w:p>
        </w:tc>
      </w:tr>
      <w:tr w:rsidR="00065EE7" w14:paraId="3868CA30"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C24DB48" w14:textId="77777777" w:rsidR="00065EE7" w:rsidRDefault="000B0521">
            <w:proofErr w:type="spellStart"/>
            <w:r>
              <w:rPr>
                <w:b/>
                <w:bCs/>
                <w:color w:val="000000"/>
                <w:sz w:val="20"/>
                <w:szCs w:val="20"/>
              </w:rPr>
              <w:t>Streamlit</w:t>
            </w:r>
            <w:proofErr w:type="spellEnd"/>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CFD4607" w14:textId="77777777" w:rsidR="00065EE7" w:rsidRDefault="000B0521">
            <w:r>
              <w:rPr>
                <w:color w:val="000000"/>
                <w:sz w:val="20"/>
                <w:szCs w:val="20"/>
              </w:rPr>
              <w:t>Web Application</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B745188" w14:textId="77777777" w:rsidR="00065EE7" w:rsidRDefault="000B0521">
            <w:r>
              <w:rPr>
                <w:color w:val="000000"/>
                <w:sz w:val="20"/>
                <w:szCs w:val="20"/>
              </w:rPr>
              <w:t>Production deployment of the interactive logistics intelligence dashboard</w:t>
            </w:r>
          </w:p>
        </w:tc>
      </w:tr>
      <w:tr w:rsidR="00065EE7" w14:paraId="13741D4A"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7216FFA" w14:textId="77777777" w:rsidR="00065EE7" w:rsidRDefault="000B0521">
            <w:proofErr w:type="spellStart"/>
            <w:r>
              <w:rPr>
                <w:b/>
                <w:bCs/>
                <w:color w:val="000000"/>
                <w:sz w:val="20"/>
                <w:szCs w:val="20"/>
              </w:rPr>
              <w:lastRenderedPageBreak/>
              <w:t>Jupyter</w:t>
            </w:r>
            <w:proofErr w:type="spellEnd"/>
            <w:r>
              <w:rPr>
                <w:b/>
                <w:bCs/>
                <w:color w:val="000000"/>
                <w:sz w:val="20"/>
                <w:szCs w:val="20"/>
              </w:rPr>
              <w:t xml:space="preserve"> Notebook</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8D189CF" w14:textId="77777777" w:rsidR="00065EE7" w:rsidRDefault="000B0521">
            <w:r>
              <w:rPr>
                <w:color w:val="000000"/>
                <w:sz w:val="20"/>
                <w:szCs w:val="20"/>
              </w:rPr>
              <w:t>Development Env.</w:t>
            </w:r>
          </w:p>
        </w:tc>
        <w:tc>
          <w:tcPr>
            <w:tcW w:w="4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9A0A8AF" w14:textId="77777777" w:rsidR="00065EE7" w:rsidRDefault="000B0521">
            <w:r>
              <w:rPr>
                <w:color w:val="000000"/>
                <w:sz w:val="20"/>
                <w:szCs w:val="20"/>
              </w:rPr>
              <w:t>Modular analytical workflow documentation and reproducible pipeline stages</w:t>
            </w:r>
          </w:p>
        </w:tc>
      </w:tr>
      <w:tr w:rsidR="00065EE7" w14:paraId="711B5E76"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8945FF2" w14:textId="77777777" w:rsidR="00065EE7" w:rsidRDefault="000B0521">
            <w:r>
              <w:rPr>
                <w:b/>
                <w:bCs/>
                <w:color w:val="000000"/>
                <w:sz w:val="20"/>
                <w:szCs w:val="20"/>
              </w:rPr>
              <w:t>Git / GitHub</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F31AC5F" w14:textId="77777777" w:rsidR="00065EE7" w:rsidRDefault="000B0521">
            <w:r>
              <w:rPr>
                <w:color w:val="000000"/>
                <w:sz w:val="20"/>
                <w:szCs w:val="20"/>
              </w:rPr>
              <w:t>Version Control</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FAE69BD" w14:textId="77777777" w:rsidR="00065EE7" w:rsidRDefault="000B0521">
            <w:r>
              <w:rPr>
                <w:color w:val="000000"/>
                <w:sz w:val="20"/>
                <w:szCs w:val="20"/>
              </w:rPr>
              <w:t>Source code management, version tracking, and repository hosting</w:t>
            </w:r>
          </w:p>
        </w:tc>
      </w:tr>
      <w:tr w:rsidR="00065EE7" w14:paraId="4E644CED"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203B6CC" w14:textId="77777777" w:rsidR="00065EE7" w:rsidRDefault="000B0521">
            <w:r>
              <w:rPr>
                <w:b/>
                <w:bCs/>
                <w:color w:val="000000"/>
                <w:sz w:val="20"/>
                <w:szCs w:val="20"/>
              </w:rPr>
              <w:t>VS Code</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3889989" w14:textId="77777777" w:rsidR="00065EE7" w:rsidRDefault="000B0521">
            <w:r>
              <w:rPr>
                <w:color w:val="000000"/>
                <w:sz w:val="20"/>
                <w:szCs w:val="20"/>
              </w:rPr>
              <w:t>IDE</w:t>
            </w:r>
          </w:p>
        </w:tc>
        <w:tc>
          <w:tcPr>
            <w:tcW w:w="4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A76E60D" w14:textId="77777777" w:rsidR="00065EE7" w:rsidRDefault="000B0521">
            <w:r>
              <w:rPr>
                <w:color w:val="000000"/>
                <w:sz w:val="20"/>
                <w:szCs w:val="20"/>
              </w:rPr>
              <w:t xml:space="preserve">Code editing, debugging, and integrated terminal for </w:t>
            </w:r>
            <w:proofErr w:type="spellStart"/>
            <w:r>
              <w:rPr>
                <w:color w:val="000000"/>
                <w:sz w:val="20"/>
                <w:szCs w:val="20"/>
              </w:rPr>
              <w:t>Streamlit</w:t>
            </w:r>
            <w:proofErr w:type="spellEnd"/>
            <w:r>
              <w:rPr>
                <w:color w:val="000000"/>
                <w:sz w:val="20"/>
                <w:szCs w:val="20"/>
              </w:rPr>
              <w:t xml:space="preserve"> deployment</w:t>
            </w:r>
          </w:p>
        </w:tc>
      </w:tr>
    </w:tbl>
    <w:p w14:paraId="78E7EF85" w14:textId="77777777" w:rsidR="00065EE7" w:rsidRDefault="00065EE7">
      <w:pPr>
        <w:spacing w:before="240" w:after="240"/>
      </w:pPr>
    </w:p>
    <w:p w14:paraId="74DCAFD5" w14:textId="77777777" w:rsidR="00065EE7" w:rsidRDefault="000B0521">
      <w:r>
        <w:br w:type="page"/>
      </w:r>
    </w:p>
    <w:p w14:paraId="51527B95" w14:textId="77777777" w:rsidR="00065EE7" w:rsidRDefault="000B0521">
      <w:pPr>
        <w:pBdr>
          <w:bottom w:val="single" w:sz="6" w:space="1" w:color="2E75B6"/>
        </w:pBdr>
        <w:spacing w:before="280" w:after="100"/>
      </w:pPr>
      <w:r>
        <w:rPr>
          <w:b/>
          <w:bCs/>
          <w:color w:val="1F3864"/>
          <w:sz w:val="26"/>
          <w:szCs w:val="26"/>
        </w:rPr>
        <w:lastRenderedPageBreak/>
        <w:t>REFERENCES</w:t>
      </w:r>
    </w:p>
    <w:p w14:paraId="645BF10C" w14:textId="77777777" w:rsidR="00065EE7" w:rsidRDefault="00065EE7">
      <w:pPr>
        <w:spacing w:before="80" w:after="80"/>
      </w:pPr>
    </w:p>
    <w:p w14:paraId="363B451B" w14:textId="77777777" w:rsidR="00065EE7" w:rsidRDefault="000B0521">
      <w:pPr>
        <w:spacing w:before="60" w:after="60"/>
      </w:pPr>
      <w:r>
        <w:rPr>
          <w:sz w:val="20"/>
          <w:szCs w:val="20"/>
        </w:rPr>
        <w:t>[1] McKinney, W. (2010). Data Structures for Statistical Computing in Python. Proceedings of the 9th Python in Science Conference, 51–56.</w:t>
      </w:r>
    </w:p>
    <w:p w14:paraId="1AD6FE4B" w14:textId="77777777" w:rsidR="00065EE7" w:rsidRDefault="000B0521">
      <w:pPr>
        <w:spacing w:before="60" w:after="60"/>
      </w:pPr>
      <w:r>
        <w:rPr>
          <w:sz w:val="20"/>
          <w:szCs w:val="20"/>
        </w:rPr>
        <w:t>[2] Harris, C.R., Millman, K.J., van der Walt, S.J. et al. (2020). Array programming with NumPy. Nature, 585, 357–362. https://doi.org/10.1038/s41586-020-2649-2</w:t>
      </w:r>
    </w:p>
    <w:p w14:paraId="44E642C9" w14:textId="77777777" w:rsidR="00065EE7" w:rsidRDefault="000B0521">
      <w:pPr>
        <w:spacing w:before="60" w:after="60"/>
      </w:pPr>
      <w:r>
        <w:rPr>
          <w:sz w:val="20"/>
          <w:szCs w:val="20"/>
        </w:rPr>
        <w:t>[3] Hunter, J.D. (2007). Matplotlib: A 2D Graphics Environment. Computing in Science &amp; Engineering, 9(3), 90–95.</w:t>
      </w:r>
    </w:p>
    <w:p w14:paraId="509CF40F" w14:textId="77777777" w:rsidR="00065EE7" w:rsidRDefault="000B0521">
      <w:pPr>
        <w:spacing w:before="60" w:after="60"/>
      </w:pPr>
      <w:r>
        <w:rPr>
          <w:sz w:val="20"/>
          <w:szCs w:val="20"/>
        </w:rPr>
        <w:t xml:space="preserve">[4] Waskom, M.L. (2021). Seaborn: Statistical Data Visualization. Journal of </w:t>
      </w:r>
      <w:proofErr w:type="gramStart"/>
      <w:r>
        <w:rPr>
          <w:sz w:val="20"/>
          <w:szCs w:val="20"/>
        </w:rPr>
        <w:t>Open Source</w:t>
      </w:r>
      <w:proofErr w:type="gramEnd"/>
      <w:r>
        <w:rPr>
          <w:sz w:val="20"/>
          <w:szCs w:val="20"/>
        </w:rPr>
        <w:t xml:space="preserve"> Software, 6(60), 3021. https://doi.org/10.21105/joss.03021</w:t>
      </w:r>
    </w:p>
    <w:p w14:paraId="304BB187" w14:textId="77777777" w:rsidR="00065EE7" w:rsidRDefault="000B0521">
      <w:pPr>
        <w:spacing w:before="60" w:after="60"/>
      </w:pPr>
      <w:r>
        <w:rPr>
          <w:sz w:val="20"/>
          <w:szCs w:val="20"/>
        </w:rPr>
        <w:t xml:space="preserve">[5] </w:t>
      </w:r>
      <w:proofErr w:type="spellStart"/>
      <w:r>
        <w:rPr>
          <w:sz w:val="20"/>
          <w:szCs w:val="20"/>
        </w:rPr>
        <w:t>Plotly</w:t>
      </w:r>
      <w:proofErr w:type="spellEnd"/>
      <w:r>
        <w:rPr>
          <w:sz w:val="20"/>
          <w:szCs w:val="20"/>
        </w:rPr>
        <w:t xml:space="preserve"> Technologies Inc. (2015–2025). Collaborative data science. https://plot.ly</w:t>
      </w:r>
    </w:p>
    <w:p w14:paraId="62E645DB" w14:textId="77777777" w:rsidR="00065EE7" w:rsidRDefault="000B0521">
      <w:pPr>
        <w:spacing w:before="60" w:after="60"/>
      </w:pPr>
      <w:r>
        <w:rPr>
          <w:sz w:val="20"/>
          <w:szCs w:val="20"/>
        </w:rPr>
        <w:t xml:space="preserve">[6] </w:t>
      </w:r>
      <w:proofErr w:type="spellStart"/>
      <w:r>
        <w:rPr>
          <w:sz w:val="20"/>
          <w:szCs w:val="20"/>
        </w:rPr>
        <w:t>Streamlit</w:t>
      </w:r>
      <w:proofErr w:type="spellEnd"/>
      <w:r>
        <w:rPr>
          <w:sz w:val="20"/>
          <w:szCs w:val="20"/>
        </w:rPr>
        <w:t xml:space="preserve"> Inc. (2020–2025). </w:t>
      </w:r>
      <w:proofErr w:type="spellStart"/>
      <w:r>
        <w:rPr>
          <w:sz w:val="20"/>
          <w:szCs w:val="20"/>
        </w:rPr>
        <w:t>Streamlit</w:t>
      </w:r>
      <w:proofErr w:type="spellEnd"/>
      <w:r>
        <w:rPr>
          <w:sz w:val="20"/>
          <w:szCs w:val="20"/>
        </w:rPr>
        <w:t>: The fastest way to build and share data apps. https://streamlit.io</w:t>
      </w:r>
    </w:p>
    <w:p w14:paraId="3712DD24" w14:textId="77777777" w:rsidR="00065EE7" w:rsidRDefault="000B0521">
      <w:pPr>
        <w:spacing w:before="60" w:after="60"/>
      </w:pPr>
      <w:r>
        <w:rPr>
          <w:sz w:val="20"/>
          <w:szCs w:val="20"/>
        </w:rPr>
        <w:t xml:space="preserve">[7] Project </w:t>
      </w:r>
      <w:proofErr w:type="spellStart"/>
      <w:r>
        <w:rPr>
          <w:sz w:val="20"/>
          <w:szCs w:val="20"/>
        </w:rPr>
        <w:t>Jupyter</w:t>
      </w:r>
      <w:proofErr w:type="spellEnd"/>
      <w:r>
        <w:rPr>
          <w:sz w:val="20"/>
          <w:szCs w:val="20"/>
        </w:rPr>
        <w:t xml:space="preserve">. (2024). </w:t>
      </w:r>
      <w:proofErr w:type="spellStart"/>
      <w:r>
        <w:rPr>
          <w:sz w:val="20"/>
          <w:szCs w:val="20"/>
        </w:rPr>
        <w:t>Jupyter</w:t>
      </w:r>
      <w:proofErr w:type="spellEnd"/>
      <w:r>
        <w:rPr>
          <w:sz w:val="20"/>
          <w:szCs w:val="20"/>
        </w:rPr>
        <w:t xml:space="preserve"> Notebook Documentation. https://jupyter.org</w:t>
      </w:r>
    </w:p>
    <w:p w14:paraId="69BA8E35" w14:textId="77777777" w:rsidR="00065EE7" w:rsidRDefault="000B0521">
      <w:pPr>
        <w:spacing w:before="60" w:after="60"/>
      </w:pPr>
      <w:r>
        <w:rPr>
          <w:sz w:val="20"/>
          <w:szCs w:val="20"/>
        </w:rPr>
        <w:t>[8] Council of Supply Chain Management Professionals (CSCMP). (2025). Supply Chain Terms and Glossary. https://cscmp.org</w:t>
      </w:r>
    </w:p>
    <w:p w14:paraId="34EE892E" w14:textId="77777777" w:rsidR="00065EE7" w:rsidRDefault="000B0521">
      <w:pPr>
        <w:spacing w:before="60" w:after="60"/>
      </w:pPr>
      <w:r>
        <w:rPr>
          <w:sz w:val="20"/>
          <w:szCs w:val="20"/>
        </w:rPr>
        <w:t>[9] Bureau of Transportation Statistics (BTS). (2024). Freight Analysis Framework Data. U.S. Department of Transportation. https://bts.gov</w:t>
      </w:r>
    </w:p>
    <w:p w14:paraId="3E118234" w14:textId="77777777" w:rsidR="00065EE7" w:rsidRDefault="000B0521">
      <w:pPr>
        <w:spacing w:before="60" w:after="60"/>
      </w:pPr>
      <w:r>
        <w:rPr>
          <w:sz w:val="20"/>
          <w:szCs w:val="20"/>
        </w:rPr>
        <w:t>[10] Unified Mentor. (2025). Nassau Candy Distributor Dataset. Analytics Project Repository, Batch 2025.</w:t>
      </w:r>
    </w:p>
    <w:sectPr w:rsidR="00065EE7">
      <w:headerReference w:type="default" r:id="rId10"/>
      <w:footerReference w:type="default" r:id="rId11"/>
      <w:pgSz w:w="12240" w:h="15840"/>
      <w:pgMar w:top="1000" w:right="1000" w:bottom="1000" w:left="10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95EEB75" w14:textId="77777777" w:rsidR="00880439" w:rsidRDefault="00880439">
      <w:r>
        <w:separator/>
      </w:r>
    </w:p>
  </w:endnote>
  <w:endnote w:type="continuationSeparator" w:id="0">
    <w:p w14:paraId="1EBD3BBA" w14:textId="77777777" w:rsidR="00880439" w:rsidRDefault="0088043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744275" w14:textId="77777777" w:rsidR="00065EE7" w:rsidRDefault="000B0521">
    <w:pPr>
      <w:pBdr>
        <w:top w:val="single" w:sz="4" w:space="1" w:color="2E75B6"/>
      </w:pBdr>
      <w:spacing w:before="80"/>
    </w:pPr>
    <w:r>
      <w:rPr>
        <w:color w:val="888888"/>
        <w:sz w:val="18"/>
        <w:szCs w:val="18"/>
      </w:rPr>
      <w:t>© 2026 Nassau Candy Distributor — Shipping Route Efficiency Analysis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EEA4853" w14:textId="77777777" w:rsidR="00880439" w:rsidRDefault="00880439">
      <w:r>
        <w:separator/>
      </w:r>
    </w:p>
  </w:footnote>
  <w:footnote w:type="continuationSeparator" w:id="0">
    <w:p w14:paraId="36FFE9B7" w14:textId="77777777" w:rsidR="00880439" w:rsidRDefault="0088043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21FEF9" w14:textId="77777777" w:rsidR="00065EE7" w:rsidRDefault="000B0521">
    <w:pPr>
      <w:pBdr>
        <w:bottom w:val="single" w:sz="6" w:space="1" w:color="2E75B6"/>
      </w:pBdr>
      <w:spacing w:after="100"/>
    </w:pPr>
    <w:r>
      <w:rPr>
        <w:i/>
        <w:iCs/>
        <w:color w:val="1F3864"/>
        <w:sz w:val="18"/>
        <w:szCs w:val="18"/>
      </w:rPr>
      <w:t>International Journal of Logistics &amp; Supply Chain Analytics</w:t>
    </w:r>
    <w:r>
      <w:rPr>
        <w:color w:val="888888"/>
        <w:sz w:val="18"/>
        <w:szCs w:val="18"/>
      </w:rPr>
      <w:tab/>
    </w:r>
    <w:r>
      <w:rPr>
        <w:color w:val="888888"/>
        <w:sz w:val="18"/>
        <w:szCs w:val="18"/>
      </w:rPr>
      <w:tab/>
      <w:t>Vol. 12, No. 3 (2025)    ISSN: 2398-4791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EF12EC"/>
    <w:multiLevelType w:val="hybridMultilevel"/>
    <w:tmpl w:val="16B0C138"/>
    <w:lvl w:ilvl="0" w:tplc="FFFFFFFF">
      <w:start w:val="1"/>
      <w:numFmt w:val="bullet"/>
      <w:lvlText w:val="●"/>
      <w:lvlJc w:val="left"/>
      <w:pPr>
        <w:ind w:left="720" w:hanging="360"/>
      </w:pPr>
    </w:lvl>
    <w:lvl w:ilvl="1" w:tplc="FFFFFFFF">
      <w:start w:val="1"/>
      <w:numFmt w:val="bullet"/>
      <w:lvlText w:val="○"/>
      <w:lvlJc w:val="left"/>
      <w:pPr>
        <w:ind w:left="1440" w:hanging="360"/>
      </w:p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
      <w:lvlJc w:val="left"/>
      <w:pPr>
        <w:ind w:left="5760" w:hanging="360"/>
      </w:pPr>
    </w:lvl>
    <w:lvl w:ilvl="8" w:tplc="FFFFFFFF">
      <w:start w:val="1"/>
      <w:numFmt w:val="bullet"/>
      <w:lvlText w:val="●"/>
      <w:lvlJc w:val="left"/>
      <w:pPr>
        <w:ind w:left="6480" w:hanging="360"/>
      </w:pPr>
    </w:lvl>
  </w:abstractNum>
  <w:abstractNum w:abstractNumId="1" w15:restartNumberingAfterBreak="0">
    <w:nsid w:val="0E3118A0"/>
    <w:multiLevelType w:val="hybridMultilevel"/>
    <w:tmpl w:val="F4003C12"/>
    <w:lvl w:ilvl="0" w:tplc="FFFFFFFF">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65EE7"/>
    <w:rsid w:val="00065EE7"/>
    <w:rsid w:val="000B0521"/>
    <w:rsid w:val="0014683E"/>
    <w:rsid w:val="003C41AD"/>
    <w:rsid w:val="003D469A"/>
    <w:rsid w:val="005B44D6"/>
    <w:rsid w:val="00880439"/>
    <w:rsid w:val="00B40626"/>
    <w:rsid w:val="00C4584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451CC5"/>
  <w15:docId w15:val="{21262A97-D1E3-4CBC-A6F2-4DD602141D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B44D6"/>
  </w:style>
  <w:style w:type="paragraph" w:styleId="Heading1">
    <w:name w:val="heading 1"/>
    <w:uiPriority w:val="9"/>
    <w:qFormat/>
    <w:pPr>
      <w:spacing w:before="280" w:after="100"/>
      <w:outlineLvl w:val="0"/>
    </w:pPr>
    <w:rPr>
      <w:b/>
      <w:bCs/>
      <w:color w:val="1F3864"/>
      <w:sz w:val="26"/>
      <w:szCs w:val="26"/>
    </w:rPr>
  </w:style>
  <w:style w:type="paragraph" w:styleId="Heading2">
    <w:name w:val="heading 2"/>
    <w:uiPriority w:val="9"/>
    <w:semiHidden/>
    <w:unhideWhenUsed/>
    <w:qFormat/>
    <w:pPr>
      <w:spacing w:before="180" w:after="60"/>
      <w:outlineLvl w:val="1"/>
    </w:pPr>
    <w:rPr>
      <w:b/>
      <w:bCs/>
      <w:i/>
      <w:iCs/>
      <w:color w:val="2E75B6"/>
      <w:sz w:val="23"/>
      <w:szCs w:val="23"/>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9110693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71</TotalTime>
  <Pages>1</Pages>
  <Words>3408</Words>
  <Characters>19427</Characters>
  <Application>Microsoft Office Word</Application>
  <DocSecurity>0</DocSecurity>
  <Lines>161</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22790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Badshah akbar</cp:lastModifiedBy>
  <cp:revision>4</cp:revision>
  <dcterms:created xsi:type="dcterms:W3CDTF">2026-04-12T06:09:00Z</dcterms:created>
  <dcterms:modified xsi:type="dcterms:W3CDTF">2026-04-12T14:53:00Z</dcterms:modified>
</cp:coreProperties>
</file>