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I’ll help you transform the Persian text into a clean, well-formatted Markdown document. The content appears to be Terms of Service for a platform called</w:t>
      </w:r>
      <w:r>
        <w:t xml:space="preserve"> </w:t>
      </w:r>
      <w:r>
        <w:t xml:space="preserve">“</w:t>
      </w:r>
      <w:r>
        <w:t xml:space="preserve">n98n</w:t>
      </w:r>
      <w:r>
        <w:t xml:space="preserve">”</w:t>
      </w:r>
      <w:r>
        <w:t xml:space="preserve">.</w:t>
      </w:r>
    </w:p>
    <w:bookmarkStart w:id="65" w:name="شرایط-و-مقررات-استفاده-از-پلتفرم-n98n"/>
    <w:p>
      <w:pPr>
        <w:pStyle w:val="Heading1"/>
      </w:pPr>
      <w:r>
        <w:t xml:space="preserve">شرایط و مقررات استفاده از پلتفرم n98n</w:t>
      </w:r>
    </w:p>
    <w:bookmarkStart w:id="20" w:name="مقدمه-و-اهداف"/>
    <w:p>
      <w:pPr>
        <w:pStyle w:val="Heading2"/>
      </w:pPr>
      <w:r>
        <w:t xml:space="preserve">مقدمه و اهداف</w:t>
      </w:r>
    </w:p>
    <w:p>
      <w:pPr>
        <w:pStyle w:val="FirstParagraph"/>
      </w:pPr>
      <w: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pPr>
      <w:r>
        <w:t xml:space="preserve">پذیرش شرایط</w:t>
      </w:r>
    </w:p>
    <w:p>
      <w:pPr>
        <w:pStyle w:val="FirstParagraph"/>
      </w:pPr>
      <w: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pPr>
      <w:r>
        <w:t xml:space="preserve">تعاریف</w:t>
      </w:r>
    </w:p>
    <w:p>
      <w:pPr>
        <w:numPr>
          <w:ilvl w:val="0"/>
          <w:numId w:val="1001"/>
        </w:numPr>
        <w:pStyle w:val="Compact"/>
      </w:pPr>
      <w:r>
        <w:rPr>
          <w:bCs/>
          <w:b/>
        </w:rPr>
        <w:t xml:space="preserve">پلتفرم</w:t>
      </w:r>
      <w:r>
        <w:t xml:space="preserve">: نرم‌افزار و خدمات آنلاین ارائه‌شده توسط n98n.</w:t>
      </w:r>
    </w:p>
    <w:p>
      <w:pPr>
        <w:numPr>
          <w:ilvl w:val="0"/>
          <w:numId w:val="1001"/>
        </w:numPr>
        <w:pStyle w:val="Compact"/>
      </w:pPr>
      <w:r>
        <w:rPr>
          <w:bCs/>
          <w:b/>
        </w:rPr>
        <w:t xml:space="preserve">کاربر</w:t>
      </w:r>
      <w:r>
        <w:t xml:space="preserve">: هر شخص حقیقی یا حقوقی که از خدمات پلتفرم استفاده می‌کند.</w:t>
      </w:r>
    </w:p>
    <w:p>
      <w:pPr>
        <w:numPr>
          <w:ilvl w:val="0"/>
          <w:numId w:val="1001"/>
        </w:numPr>
        <w:pStyle w:val="Compact"/>
      </w:pPr>
      <w:r>
        <w:rPr>
          <w:bCs/>
          <w:b/>
        </w:rPr>
        <w:t xml:space="preserve">حساب کاربری</w:t>
      </w:r>
      <w:r>
        <w:t xml:space="preserve">: مجموعه اطلاعات هویتی و دسترسی کاربر برای ورود به پلتفرم.</w:t>
      </w:r>
    </w:p>
    <w:p>
      <w:pPr>
        <w:numPr>
          <w:ilvl w:val="0"/>
          <w:numId w:val="1001"/>
        </w:numPr>
        <w:pStyle w:val="Compact"/>
      </w:pPr>
      <w:r>
        <w:rPr>
          <w:bCs/>
          <w:b/>
        </w:rPr>
        <w:t xml:space="preserve">داده پیام</w:t>
      </w:r>
      <w: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pPr>
      <w:r>
        <w:rPr>
          <w:bCs/>
          <w:b/>
        </w:rPr>
        <w:t xml:space="preserve">حق انصراف</w:t>
      </w:r>
      <w:r>
        <w:t xml:space="preserve">: اختیار مصرف‌کننده برای بازپس دادن خدمات یا کالا بدون جریمه تا مهلت قانونی.</w:t>
      </w:r>
    </w:p>
    <w:bookmarkEnd w:id="22"/>
    <w:bookmarkStart w:id="23" w:name="ثبتنام-و-حساب-کاربری"/>
    <w:p>
      <w:pPr>
        <w:pStyle w:val="Heading2"/>
      </w:pPr>
      <w:r>
        <w:t xml:space="preserve">ثبت‌نام و حساب کاربری</w:t>
      </w:r>
    </w:p>
    <w:p>
      <w:pPr>
        <w:pStyle w:val="FirstParagraph"/>
      </w:pPr>
      <w: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pPr>
      <w:r>
        <w:t xml:space="preserve">تعهدات کاربر</w:t>
      </w:r>
    </w:p>
    <w:p>
      <w:pPr>
        <w:numPr>
          <w:ilvl w:val="0"/>
          <w:numId w:val="1002"/>
        </w:numPr>
        <w:pStyle w:val="Compact"/>
      </w:pPr>
      <w:r>
        <w:t xml:space="preserve">استفاده صرفاً برای اهداف قانونی و مطابق با حقوق و مقررات جمهوری اسلامی ایران.</w:t>
      </w:r>
    </w:p>
    <w:p>
      <w:pPr>
        <w:numPr>
          <w:ilvl w:val="0"/>
          <w:numId w:val="1002"/>
        </w:numPr>
        <w:pStyle w:val="Compact"/>
      </w:pPr>
      <w: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pPr>
      <w:r>
        <w:t xml:space="preserve">احترام به حق مالکیت معنوی و عدم کپی یا نشر غیرمجاز محتواهای پلتفرم.</w:t>
      </w:r>
    </w:p>
    <w:bookmarkEnd w:id="24"/>
    <w:bookmarkStart w:id="25" w:name="حقوق-مالکیت-معنوی"/>
    <w:p>
      <w:pPr>
        <w:pStyle w:val="Heading2"/>
      </w:pPr>
      <w:r>
        <w:t xml:space="preserve">حقوق مالکیت معنوی</w:t>
      </w:r>
    </w:p>
    <w:p>
      <w:pPr>
        <w:pStyle w:val="FirstParagraph"/>
      </w:pPr>
      <w: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pPr>
      <w:r>
        <w:t xml:space="preserve">محرمانگی و حفاظت از داده‌ها</w:t>
      </w:r>
    </w:p>
    <w:p>
      <w:pPr>
        <w:pStyle w:val="FirstParagraph"/>
      </w:pPr>
      <w: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pPr>
      <w:r>
        <w:t xml:space="preserve">سیاست حفظ حریم خصوصی</w:t>
      </w:r>
    </w:p>
    <w:p>
      <w:pPr>
        <w:pStyle w:val="FirstParagraph"/>
      </w:pPr>
      <w: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pPr>
      <w:r>
        <w:t xml:space="preserve">نوع و هدف داده‌های جمع‌آوری‌شده</w:t>
      </w:r>
    </w:p>
    <w:p>
      <w:pPr>
        <w:numPr>
          <w:ilvl w:val="0"/>
          <w:numId w:val="1003"/>
        </w:numPr>
        <w:pStyle w:val="Compact"/>
      </w:pPr>
      <w:r>
        <w:t xml:space="preserve">اطلاعات هویتی (نام و نام خانوادگی، ایمیل، شماره تلفن) و اطلاعات تراکنشی برای ارائه خدمات و پشتیبانی.</w:t>
      </w:r>
    </w:p>
    <w:p>
      <w:pPr>
        <w:numPr>
          <w:ilvl w:val="0"/>
          <w:numId w:val="1003"/>
        </w:numPr>
        <w:pStyle w:val="Compact"/>
      </w:pPr>
      <w: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pPr>
      <w:r>
        <w:t xml:space="preserve">روش‌های جمع‌آوری</w:t>
      </w:r>
    </w:p>
    <w:p>
      <w:pPr>
        <w:numPr>
          <w:ilvl w:val="0"/>
          <w:numId w:val="1004"/>
        </w:numPr>
        <w:pStyle w:val="Compact"/>
      </w:pPr>
      <w:r>
        <w:t xml:space="preserve">فرم‌های ثبت‌نام و ورود اطلاعات توسط کاربر.</w:t>
      </w:r>
    </w:p>
    <w:p>
      <w:pPr>
        <w:numPr>
          <w:ilvl w:val="0"/>
          <w:numId w:val="1004"/>
        </w:numPr>
        <w:pStyle w:val="Compact"/>
      </w:pPr>
      <w: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pPr>
      <w:r>
        <w:t xml:space="preserve">ذخیره‌سازی و نگهداری</w:t>
      </w:r>
    </w:p>
    <w:p>
      <w:pPr>
        <w:pStyle w:val="FirstParagraph"/>
      </w:pPr>
      <w: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pPr>
      <w:r>
        <w:t xml:space="preserve">دسترسی و اصلاح اطلاعات</w:t>
      </w:r>
    </w:p>
    <w:p>
      <w:pPr>
        <w:pStyle w:val="FirstParagraph"/>
      </w:pPr>
      <w: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pPr>
      <w:r>
        <w:t xml:space="preserve">تغییرات در سیاست</w:t>
      </w:r>
    </w:p>
    <w:p>
      <w:pPr>
        <w:pStyle w:val="FirstParagraph"/>
      </w:pPr>
      <w: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pPr>
      <w:r>
        <w:t xml:space="preserve">محدودیت مسئولیت</w:t>
      </w:r>
    </w:p>
    <w:p>
      <w:pPr>
        <w:pStyle w:val="FirstParagraph"/>
      </w:pPr>
      <w: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pPr>
      <w:r>
        <w:t xml:space="preserve">سلب مسئولیت</w:t>
      </w:r>
    </w:p>
    <w:p>
      <w:pPr>
        <w:pStyle w:val="FirstParagraph"/>
      </w:pPr>
      <w: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pPr>
      <w:r>
        <w:t xml:space="preserve">شرایط بازپرداخت و حق انصراف</w:t>
      </w:r>
    </w:p>
    <w:p>
      <w:pPr>
        <w:pStyle w:val="FirstParagraph"/>
      </w:pPr>
      <w: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pPr>
      <w:r>
        <w:t xml:space="preserve">مدت و نحوه اعمال حق انصراف</w:t>
      </w:r>
    </w:p>
    <w:p>
      <w:pPr>
        <w:numPr>
          <w:ilvl w:val="0"/>
          <w:numId w:val="1005"/>
        </w:numPr>
        <w:pStyle w:val="Compact"/>
      </w:pPr>
      <w:r>
        <w:t xml:space="preserve">در خدمات آنلاین: از روز انعقاد قرارداد تا هفت روز کاری برای اعلام انصراف مهلت وجود دارد.</w:t>
      </w:r>
    </w:p>
    <w:p>
      <w:pPr>
        <w:numPr>
          <w:ilvl w:val="0"/>
          <w:numId w:val="1005"/>
        </w:numPr>
        <w:pStyle w:val="Compact"/>
      </w:pPr>
      <w: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pPr>
      <w:r>
        <w:t xml:space="preserve">شرایط بازپس‌گیری محصولات فیزیکی (در صورت وجود)</w:t>
      </w:r>
    </w:p>
    <w:p>
      <w:pPr>
        <w:numPr>
          <w:ilvl w:val="0"/>
          <w:numId w:val="1006"/>
        </w:numPr>
        <w:pStyle w:val="Compact"/>
      </w:pPr>
      <w:r>
        <w:t xml:space="preserve">عودت کالا تا ۱۲ ماه پس از خرید براساس ضوابط وزارت صنعت، معدن و تجارت امکان‌پذیر است.</w:t>
      </w:r>
    </w:p>
    <w:p>
      <w:pPr>
        <w:numPr>
          <w:ilvl w:val="0"/>
          <w:numId w:val="1006"/>
        </w:numPr>
        <w:pStyle w:val="Compact"/>
      </w:pPr>
      <w: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pPr>
      <w:r>
        <w:t xml:space="preserve">شرایط پرداخت و هزینه‌ها</w:t>
      </w:r>
    </w:p>
    <w:p>
      <w:pPr>
        <w:numPr>
          <w:ilvl w:val="0"/>
          <w:numId w:val="1007"/>
        </w:numPr>
        <w:pStyle w:val="Compact"/>
      </w:pPr>
      <w:r>
        <w:t xml:space="preserve">کلیه کاربران موظف به پرداخت هزینه اشتراک طبق تعرفه‌های اعلام‌شده در قرارداد خدمات اینترنتی هستند.</w:t>
      </w:r>
    </w:p>
    <w:p>
      <w:pPr>
        <w:numPr>
          <w:ilvl w:val="0"/>
          <w:numId w:val="1007"/>
        </w:numPr>
        <w:pStyle w:val="Compact"/>
      </w:pPr>
      <w: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pPr>
      <w:r>
        <w:t xml:space="preserve">در صورت عدم پرداخت به‌موقع، دسترسی کاربر تا تسویه کامل بدهی موقتاً معلق خواهد شد.</w:t>
      </w:r>
    </w:p>
    <w:p>
      <w:pPr>
        <w:numPr>
          <w:ilvl w:val="0"/>
          <w:numId w:val="1007"/>
        </w:numPr>
        <w:pStyle w:val="Compact"/>
      </w:pPr>
      <w: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pPr>
      <w:r>
        <w:t xml:space="preserve">جریمه‌ها و محرومیت‌ها</w:t>
      </w:r>
    </w:p>
    <w:p>
      <w:pPr>
        <w:pStyle w:val="FirstParagraph"/>
      </w:pPr>
      <w:r>
        <w:t xml:space="preserve">در صورت نقض هر یک از مفاد این شرایط، شرکت مجاز است اقدامات زیر را انجام دهد:</w:t>
      </w:r>
      <w:r>
        <w:t xml:space="preserve"> </w:t>
      </w:r>
      <w:r>
        <w:t xml:space="preserve">- اخطار کتبی و درخواست اصلاح رفتار یا حذف محتوای نامناسب.</w:t>
      </w:r>
      <w:r>
        <w:t xml:space="preserve"> </w:t>
      </w:r>
      <w:r>
        <w:t xml:space="preserve">- تعلیق موقت حساب تا رفع تخلف و تغییر در رفتار کاربر.</w:t>
      </w:r>
      <w:r>
        <w:t xml:space="preserve"> </w:t>
      </w:r>
      <w:r>
        <w:t xml:space="preserve">- مسدودسازی دائمی در صورت تکرار تخلف یا ارتکاب اقدامات زیان‌بار برای سیستم و کاربران دیگر.</w:t>
      </w:r>
    </w:p>
    <w:p>
      <w:pPr>
        <w:pStyle w:val="BodyText"/>
      </w:pPr>
      <w: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pPr>
      <w:r>
        <w:t xml:space="preserve">فسخ و خاتمه</w:t>
      </w:r>
    </w:p>
    <w:p>
      <w:pPr>
        <w:pStyle w:val="FirstParagraph"/>
      </w:pPr>
      <w: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pPr>
      <w:r>
        <w:t xml:space="preserve">جبران خسارات</w:t>
      </w:r>
    </w:p>
    <w:p>
      <w:pPr>
        <w:pStyle w:val="FirstParagraph"/>
      </w:pPr>
      <w: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pPr>
      <w:r>
        <w:t xml:space="preserve">سیاست امنیت اطلاعات و نگهداری لاگ</w:t>
      </w:r>
    </w:p>
    <w:p>
      <w:pPr>
        <w:numPr>
          <w:ilvl w:val="0"/>
          <w:numId w:val="1008"/>
        </w:numPr>
        <w:pStyle w:val="Compact"/>
      </w:pPr>
      <w: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pPr>
      <w:r>
        <w:t xml:space="preserve">دسترسی به لاگ‌ها صرفاً برای مقاصد امنیتی، عیب‌یابی و رسیدگی به حوادث سایبری مجاز است.</w:t>
      </w:r>
    </w:p>
    <w:p>
      <w:pPr>
        <w:numPr>
          <w:ilvl w:val="0"/>
          <w:numId w:val="1008"/>
        </w:numPr>
        <w:pStyle w:val="Compact"/>
      </w:pPr>
      <w: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pPr>
      <w:r>
        <w:t xml:space="preserve">شرایط ویژه API</w:t>
      </w:r>
    </w:p>
    <w:p>
      <w:pPr>
        <w:numPr>
          <w:ilvl w:val="0"/>
          <w:numId w:val="1009"/>
        </w:numPr>
        <w:pStyle w:val="Compact"/>
      </w:pPr>
      <w:r>
        <w:t xml:space="preserve">استفاده از API پلتفرم منوط به دریافت کلید منحصر به فرد (API Key) برای هر حساب کاربری است.</w:t>
      </w:r>
    </w:p>
    <w:p>
      <w:pPr>
        <w:numPr>
          <w:ilvl w:val="0"/>
          <w:numId w:val="1009"/>
        </w:numPr>
        <w:pStyle w:val="Compact"/>
      </w:pPr>
      <w:r>
        <w:t xml:space="preserve">کاربر مسئول حفظ محرمانگی و عدم انتشار کلید API خود می‌باشد و هرگونه سوءاستفاده بر عهده وی است.</w:t>
      </w:r>
    </w:p>
    <w:p>
      <w:pPr>
        <w:numPr>
          <w:ilvl w:val="0"/>
          <w:numId w:val="1009"/>
        </w:numPr>
        <w:pStyle w:val="Compact"/>
      </w:pPr>
      <w: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pPr>
      <w:r>
        <w:t xml:space="preserve">خدمات پشتیبانی و سطح خدمت (SLA)</w:t>
      </w:r>
    </w:p>
    <w:p>
      <w:pPr>
        <w:numPr>
          <w:ilvl w:val="0"/>
          <w:numId w:val="1010"/>
        </w:numPr>
        <w:pStyle w:val="Compact"/>
      </w:pPr>
      <w:r>
        <w:t xml:space="preserve">شرکت پشتیبانی فنی را از شنبه تا چهارشنبه، ساعت ۹:۰۰ الی ۱۸:۰۰ (به استثنای تعطیلات رسمی) ارائه می‌دهد.</w:t>
      </w:r>
    </w:p>
    <w:p>
      <w:pPr>
        <w:numPr>
          <w:ilvl w:val="0"/>
          <w:numId w:val="1010"/>
        </w:numPr>
        <w:pStyle w:val="Compact"/>
      </w:pPr>
      <w: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pPr>
      <w:r>
        <w:t xml:space="preserve">برای سطوح حرفه‌ای و سازمانی، ضمانت دسترسی (Uptime) حداقل ۹۹٫۵٪ در ماه ارائه می‌شود.</w:t>
      </w:r>
    </w:p>
    <w:bookmarkEnd w:id="44"/>
    <w:bookmarkStart w:id="45" w:name="پیوست-توافق-سطح-خدمات-sla"/>
    <w:p>
      <w:pPr>
        <w:pStyle w:val="Heading2"/>
      </w:pPr>
      <w:r>
        <w:t xml:space="preserve">پیوست توافق سطح خدمات (SLA)</w:t>
      </w:r>
    </w:p>
    <w:p>
      <w:pPr>
        <w:pStyle w:val="FirstParagraph"/>
      </w:pPr>
      <w: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pPr>
      <w:r>
        <w:t xml:space="preserve">شرایط قوه قهریه (فورس ماژور)</w:t>
      </w:r>
    </w:p>
    <w:p>
      <w:pPr>
        <w:pStyle w:val="FirstParagraph"/>
      </w:pPr>
      <w: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pPr>
      <w: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pPr>
      <w: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pPr>
      <w:r>
        <w:t xml:space="preserve">روش‌های ابلاغ الکترونیکی</w:t>
      </w:r>
    </w:p>
    <w:p>
      <w:pPr>
        <w:numPr>
          <w:ilvl w:val="0"/>
          <w:numId w:val="1012"/>
        </w:numPr>
        <w:pStyle w:val="Compact"/>
      </w:pPr>
      <w: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pPr>
      <w:r>
        <w:t xml:space="preserve">ارسال پیامک یا اعلان در اپلیکیشن موبایل (در صورت فعال بودن) نیز معتبر و نافذ تلقی می‌شود.</w:t>
      </w:r>
    </w:p>
    <w:p>
      <w:pPr>
        <w:numPr>
          <w:ilvl w:val="0"/>
          <w:numId w:val="1012"/>
        </w:numPr>
        <w:pStyle w:val="Compact"/>
      </w:pPr>
      <w: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pPr>
      <w:r>
        <w:t xml:space="preserve">نحوه ابلاغ و ارتباطات</w:t>
      </w:r>
    </w:p>
    <w:p>
      <w:pPr>
        <w:pStyle w:val="FirstParagraph"/>
      </w:pPr>
      <w: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pPr>
      <w:r>
        <w:t xml:space="preserve">شرایط فسخ و خاتمه همکاری</w:t>
      </w:r>
    </w:p>
    <w:p>
      <w:pPr>
        <w:numPr>
          <w:ilvl w:val="0"/>
          <w:numId w:val="1013"/>
        </w:numPr>
        <w:pStyle w:val="Compact"/>
      </w:pPr>
      <w: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pPr>
      <w: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pPr>
      <w: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pPr>
      <w:r>
        <w:t xml:space="preserve">دسترسی از طریق اپلیکیشن موبایل</w:t>
      </w:r>
    </w:p>
    <w:p>
      <w:pPr>
        <w:pStyle w:val="FirstParagraph"/>
      </w:pPr>
      <w: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pPr>
      <w:r>
        <w:t xml:space="preserve">حل تعارض قوانین</w:t>
      </w:r>
    </w:p>
    <w:p>
      <w:pPr>
        <w:numPr>
          <w:ilvl w:val="0"/>
          <w:numId w:val="1014"/>
        </w:numPr>
        <w:pStyle w:val="Compact"/>
      </w:pPr>
      <w: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pPr>
      <w: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pPr>
      <w:r>
        <w:t xml:space="preserve">حل اختلاف و حقوق حاکم</w:t>
      </w:r>
    </w:p>
    <w:p>
      <w:pPr>
        <w:pStyle w:val="FirstParagraph"/>
      </w:pPr>
      <w: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pPr>
      <w:r>
        <w:t xml:space="preserve">تغییر تعرفه‌ها و خدمات</w:t>
      </w:r>
    </w:p>
    <w:p>
      <w:pPr>
        <w:numPr>
          <w:ilvl w:val="0"/>
          <w:numId w:val="1015"/>
        </w:numPr>
        <w:pStyle w:val="Compact"/>
      </w:pPr>
      <w: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pPr>
      <w: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pPr>
      <w:r>
        <w:t xml:space="preserve">تغییرات در شرایط</w:t>
      </w:r>
    </w:p>
    <w:p>
      <w:pPr>
        <w:pStyle w:val="FirstParagraph"/>
      </w:pPr>
      <w: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pPr>
      <w:r>
        <w:t xml:space="preserve">امضای الکترونیکی و اعتبار حقوقی</w:t>
      </w:r>
    </w:p>
    <w:p>
      <w:pPr>
        <w:pStyle w:val="FirstParagraph"/>
      </w:pPr>
      <w: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pPr>
      <w:r>
        <w:t xml:space="preserve">بازخورد</w:t>
      </w:r>
    </w:p>
    <w:p>
      <w:pPr>
        <w:pStyle w:val="FirstParagraph"/>
      </w:pPr>
      <w: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pPr>
      <w:r>
        <w:t xml:space="preserve">مقررات عمومی</w:t>
      </w:r>
    </w:p>
    <w:bookmarkStart w:id="57" w:name="تفکیکپذیری"/>
    <w:p>
      <w:pPr>
        <w:pStyle w:val="Heading3"/>
      </w:pPr>
      <w:r>
        <w:t xml:space="preserve">تفکیک‌پذیری</w:t>
      </w:r>
    </w:p>
    <w:p>
      <w:pPr>
        <w:pStyle w:val="FirstParagraph"/>
      </w:pPr>
      <w: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pPr>
      <w:r>
        <w:t xml:space="preserve">واگذاری</w:t>
      </w:r>
    </w:p>
    <w:p>
      <w:pPr>
        <w:pStyle w:val="FirstParagraph"/>
      </w:pPr>
      <w: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pPr>
      <w:r>
        <w:t xml:space="preserve">عدم اسقاط حقوق</w:t>
      </w:r>
    </w:p>
    <w:p>
      <w:pPr>
        <w:pStyle w:val="FirstParagraph"/>
      </w:pPr>
      <w: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pPr>
      <w:r>
        <w:t xml:space="preserve">تمامیت قرارداد</w:t>
      </w:r>
    </w:p>
    <w:p>
      <w:pPr>
        <w:pStyle w:val="FirstParagraph"/>
      </w:pPr>
      <w: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pPr>
      <w:r>
        <w:t xml:space="preserve">پیوست‌ها و مستندات تکمیلی</w:t>
      </w:r>
    </w:p>
    <w:p>
      <w:pPr>
        <w:pStyle w:val="FirstParagraph"/>
      </w:pPr>
      <w: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pPr>
      <w:r>
        <w:t xml:space="preserve">تاریخ اثر و اعتبار</w:t>
      </w:r>
    </w:p>
    <w:p>
      <w:pPr>
        <w:pStyle w:val="FirstParagraph"/>
      </w:pPr>
      <w: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pPr>
      <w:r>
        <w:t xml:space="preserve">اطلاعات تماس</w:t>
      </w:r>
    </w:p>
    <w:p>
      <w:pPr>
        <w:pStyle w:val="FirstParagraph"/>
      </w:pPr>
      <w:r>
        <w:t xml:space="preserve">برای سوالات، پیشنهادات یا درخواست‌های قانونی، با ایمیل زیر در تماس باشید:</w:t>
      </w:r>
      <w:r>
        <w:t xml:space="preserve"> </w:t>
      </w:r>
      <w:r>
        <w:t xml:space="preserve">hello@n8n.io</w:t>
      </w:r>
    </w:p>
    <w:p>
      <w:r>
        <w:pict>
          <v:rect style="width:0;height:1.5pt" o:hralign="center" o:hrstd="t" o:hr="t"/>
        </w:pict>
      </w:r>
    </w:p>
    <w:p>
      <w:pPr>
        <w:pStyle w:val="FirstParagraph"/>
      </w:pPr>
      <w:r>
        <w:rPr>
          <w:bCs/>
          <w:b/>
        </w:rPr>
        <w:t xml:space="preserve">تاریخ اجرایی</w:t>
      </w:r>
      <w: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2025-05-26T10:59:00Z</dcterms:created>
  <dcterms:modified xsi:type="dcterms:W3CDTF">2025-05-26T10:59:00Z</dcterms:modified>
</cp:coreProperties>
</file>

<file path=docProps/custom.xml><?xml version="1.0" encoding="utf-8"?>
<Properties xmlns="http://schemas.openxmlformats.org/officeDocument/2006/custom-properties" xmlns:vt="http://schemas.openxmlformats.org/officeDocument/2006/docPropsVTypes"/>
</file>