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Arial" w:hAnsi="Arial"/>
          <w:b w:val="0"/>
          <w:color w:val="000000"/>
          <w:sz w:val="20"/>
        </w:rPr>
      </w:r>
    </w:p>
    <w:p>
      <w:pPr>
        <w:spacing w:before="0" w:after="0"/>
      </w:pPr>
      <w:r>
        <w:rPr>
          <w:rFonts w:ascii="Arial" w:hAnsi="Arial"/>
          <w:b w:val="0"/>
          <w:color w:val="000000"/>
          <w:sz w:val="20"/>
        </w:rPr>
      </w:r>
    </w:p>
    <w:p>
      <w:pPr>
        <w:spacing w:before="0" w:after="0"/>
      </w:pPr>
      <w:r>
        <w:rPr>
          <w:rFonts w:ascii="Arial" w:hAnsi="Arial"/>
          <w:b w:val="0"/>
          <w:color w:val="000000"/>
          <w:sz w:val="20"/>
        </w:rPr>
      </w:r>
    </w:p>
    <w:p>
      <w:pPr>
        <w:spacing w:before="0" w:after="0"/>
      </w:pPr>
      <w:r>
        <w:rPr>
          <w:rFonts w:ascii="Arial" w:hAnsi="Arial"/>
          <w:b w:val="0"/>
          <w:color w:val="000000"/>
          <w:sz w:val="20"/>
        </w:rPr>
      </w:r>
    </w:p>
    <w:p>
      <w:pPr>
        <w:spacing w:before="0" w:after="0"/>
      </w:pPr>
      <w:r>
        <w:rPr>
          <w:rFonts w:ascii="Arial" w:hAnsi="Arial"/>
          <w:b w:val="0"/>
          <w:color w:val="000000"/>
          <w:sz w:val="20"/>
        </w:rPr>
      </w:r>
    </w:p>
    <w:p>
      <w:pPr>
        <w:spacing w:before="0" w:after="0"/>
      </w:pPr>
      <w:r>
        <w:rPr>
          <w:rFonts w:ascii="Arial" w:hAnsi="Arial"/>
          <w:b w:val="0"/>
          <w:color w:val="000000"/>
          <w:sz w:val="20"/>
        </w:rPr>
      </w:r>
    </w:p>
    <w:p>
      <w:pPr>
        <w:spacing w:before="0" w:after="80"/>
        <w:jc w:val="center"/>
      </w:pPr>
      <w:r>
        <w:rPr>
          <w:rFonts w:ascii="Arial" w:hAnsi="Arial"/>
          <w:b/>
          <w:color w:val="000000"/>
          <w:sz w:val="44"/>
        </w:rPr>
        <w:t>CFD SIMULATION REPORT</w:t>
      </w:r>
    </w:p>
    <w:p>
      <w:pPr>
        <w:spacing w:before="0" w:after="40"/>
        <w:jc w:val="center"/>
      </w:pPr>
      <w:r>
        <w:rPr>
          <w:rFonts w:ascii="Arial" w:hAnsi="Arial"/>
          <w:b/>
          <w:color w:val="000000"/>
          <w:sz w:val="28"/>
        </w:rPr>
        <w:t>Desuperheater — Counter-Current Flow Configuration</w:t>
      </w:r>
    </w:p>
    <w:p>
      <w:pPr>
        <w:spacing w:before="0" w:after="120"/>
        <w:jc w:val="center"/>
      </w:pPr>
      <w:r>
        <w:rPr>
          <w:rFonts w:ascii="Arial" w:hAnsi="Arial"/>
          <w:b w:val="0"/>
          <w:color w:val="000000"/>
          <w:sz w:val="24"/>
        </w:rPr>
        <w:t>Transient DPM Evaporation Study</w:t>
      </w:r>
    </w:p>
    <w:p>
      <w:pPr>
        <w:spacing w:before="0" w:after="120"/>
        <w:jc w:val="center"/>
      </w:pPr>
      <w:r>
        <w:rPr>
          <w:rFonts w:ascii="Arial" w:hAnsi="Arial"/>
          <w:b w:val="0"/>
          <w:color w:val="000000"/>
          <w:sz w:val="20"/>
        </w:rPr>
        <w:t>____________________________________________________________</w:t>
      </w:r>
    </w:p>
    <w:p>
      <w:pPr>
        <w:spacing w:before="0" w:after="40"/>
        <w:jc w:val="center"/>
      </w:pPr>
      <w:r>
        <w:rPr>
          <w:rFonts w:ascii="Arial" w:hAnsi="Arial"/>
          <w:b w:val="0"/>
          <w:color w:val="000000"/>
          <w:sz w:val="20"/>
        </w:rPr>
        <w:t>Software: ANSYS Fluent 2026 R1 (Student Edition)</w:t>
      </w:r>
    </w:p>
    <w:p>
      <w:pPr>
        <w:spacing w:before="0" w:after="40"/>
        <w:jc w:val="center"/>
      </w:pPr>
      <w:r>
        <w:rPr>
          <w:rFonts w:ascii="Arial" w:hAnsi="Arial"/>
          <w:b w:val="0"/>
          <w:color w:val="000000"/>
          <w:sz w:val="20"/>
        </w:rPr>
        <w:t>Date: 21 April 2026</w:t>
      </w:r>
    </w:p>
    <w:p>
      <w:pPr>
        <w:spacing w:before="0" w:after="40"/>
        <w:jc w:val="center"/>
      </w:pPr>
      <w:r>
        <w:rPr>
          <w:rFonts w:ascii="Arial" w:hAnsi="Arial"/>
          <w:b w:val="0"/>
          <w:color w:val="000000"/>
          <w:sz w:val="20"/>
        </w:rPr>
        <w:t>Flow Configuration: Counter-Current (Nozzle spray in +Y, Steam inlet at top, Outlet at bottom)</w:t>
      </w:r>
    </w:p>
    <w:p>
      <w:r>
        <w:br w:type="page"/>
      </w:r>
    </w:p>
    <w:p>
      <w:pPr>
        <w:pStyle w:val="Heading1"/>
        <w:spacing w:before="160" w:after="80"/>
      </w:pPr>
      <w:r>
        <w:rPr>
          <w:rFonts w:ascii="Arial" w:hAnsi="Arial"/>
          <w:color w:val="000000"/>
        </w:rPr>
        <w:t>1. Introduction</w:t>
      </w:r>
    </w:p>
    <w:p>
      <w:pPr>
        <w:spacing w:before="0" w:after="80"/>
      </w:pPr>
      <w:r>
        <w:rPr>
          <w:rFonts w:ascii="Arial" w:hAnsi="Arial"/>
          <w:b w:val="0"/>
          <w:color w:val="000000"/>
          <w:sz w:val="20"/>
        </w:rPr>
        <w:t>This report presents the CFD simulation of a desuperheater in counter-current flow configuration. In this arrangement, superheated dry steam enters from the top of the main pipe and flows downward (–Y direction), while liquid water is injected through a spray nozzle in the +Y direction (opposing the steam flow). The counter-current arrangement creates opposing momentum between the spray and steam, resulting in different mixing and evaporation characteristics compared to the co-current configuration.</w:t>
      </w:r>
    </w:p>
    <w:p>
      <w:pPr>
        <w:pStyle w:val="Heading2"/>
        <w:spacing w:before="120" w:after="80"/>
      </w:pPr>
      <w:r>
        <w:rPr>
          <w:rFonts w:ascii="Arial" w:hAnsi="Arial"/>
          <w:color w:val="000000"/>
        </w:rPr>
        <w:t>1.1 Flow Configuration</w:t>
      </w:r>
    </w:p>
    <w:p>
      <w:pPr>
        <w:spacing w:before="0" w:after="20"/>
      </w:pPr>
      <w:r>
        <w:rPr>
          <w:rFonts w:ascii="Arial" w:hAnsi="Arial"/>
          <w:b w:val="0"/>
          <w:color w:val="000000"/>
          <w:sz w:val="20"/>
        </w:rPr>
        <w:t>Steam Inlet: Top of desuperheater (velocity inlet, –Y direction)</w:t>
      </w:r>
    </w:p>
    <w:p>
      <w:pPr>
        <w:spacing w:before="0" w:after="20"/>
      </w:pPr>
      <w:r>
        <w:rPr>
          <w:rFonts w:ascii="Arial" w:hAnsi="Arial"/>
          <w:b w:val="0"/>
          <w:color w:val="000000"/>
          <w:sz w:val="20"/>
        </w:rPr>
        <w:t>Steam Outlet: Bottom of desuperheater (pressure outlet)</w:t>
      </w:r>
    </w:p>
    <w:p>
      <w:pPr>
        <w:spacing w:before="0" w:after="20"/>
      </w:pPr>
      <w:r>
        <w:rPr>
          <w:rFonts w:ascii="Arial" w:hAnsi="Arial"/>
          <w:b w:val="0"/>
          <w:color w:val="000000"/>
          <w:sz w:val="20"/>
        </w:rPr>
        <w:t>Nozzle Spray: Counter-current to steam, injected in +Y direction from nozzle exit at Y = 233 mm</w:t>
      </w:r>
    </w:p>
    <w:p>
      <w:pPr>
        <w:spacing w:before="0" w:after="80"/>
      </w:pPr>
      <w:r>
        <w:rPr>
          <w:rFonts w:ascii="Arial" w:hAnsi="Arial"/>
          <w:b w:val="0"/>
          <w:color w:val="000000"/>
          <w:sz w:val="20"/>
        </w:rPr>
        <w:t>Water Inlet: Set as wall (blocks cold gas entry; water introduced via DPM only)</w:t>
      </w:r>
    </w:p>
    <w:p>
      <w:pPr>
        <w:pStyle w:val="Heading2"/>
        <w:spacing w:before="120" w:after="80"/>
      </w:pPr>
      <w:r>
        <w:rPr>
          <w:rFonts w:ascii="Arial" w:hAnsi="Arial"/>
          <w:color w:val="000000"/>
        </w:rPr>
        <w:t>1.2 Key Difference from Co-Current</w:t>
      </w:r>
    </w:p>
    <w:p>
      <w:pPr>
        <w:spacing w:before="0" w:after="80"/>
      </w:pPr>
      <w:r>
        <w:rPr>
          <w:rFonts w:ascii="Arial" w:hAnsi="Arial"/>
          <w:b w:val="0"/>
          <w:color w:val="000000"/>
          <w:sz w:val="20"/>
        </w:rPr>
        <w:t>The only change from the co-current simulation is the reversal of steam inlet and outlet positions. The steam now enters from the top and exits from the bottom. The nozzle spray direction remains +Y (upward), creating a counter-current interaction where the spray opposes the steam flow. All other settings (geometry, mesh, materials, DPM injection, solver) remain identical.</w:t>
      </w:r>
    </w:p>
    <w:p>
      <w:pPr>
        <w:pStyle w:val="Heading1"/>
        <w:spacing w:before="160" w:after="80"/>
      </w:pPr>
      <w:r>
        <w:rPr>
          <w:rFonts w:ascii="Arial" w:hAnsi="Arial"/>
          <w:color w:val="000000"/>
        </w:rPr>
        <w:t>2. Setup Summary (Identical to Co-Current Except Inlet/Outlet)</w:t>
      </w:r>
    </w:p>
    <w:tbl>
      <w:tblPr>
        <w:tblStyle w:val="TableGrid"/>
        <w:tblW w:type="auto" w:w="0"/>
        <w:jc w:val="center"/>
        <w:tblLook w:firstColumn="1" w:firstRow="1" w:lastColumn="0" w:lastRow="0" w:noHBand="0" w:noVBand="1" w:val="04A0"/>
      </w:tblPr>
      <w:tblGrid>
        <w:gridCol w:w="4933"/>
        <w:gridCol w:w="4933"/>
      </w:tblGrid>
      <w:tr>
        <w:tc>
          <w:tcPr>
            <w:tcW w:type="dxa" w:w="4933"/>
            <w:shd w:val="clear" w:color="auto" w:fill="D9D9D9"/>
          </w:tcPr>
          <w:p>
            <w:pPr>
              <w:spacing w:before="40" w:after="40"/>
              <w:jc w:val="center"/>
            </w:pPr>
            <w:r>
              <w:rPr>
                <w:rFonts w:ascii="Arial" w:hAnsi="Arial"/>
                <w:b/>
                <w:color w:val="000000"/>
                <w:sz w:val="18"/>
              </w:rPr>
              <w:t>Parameter</w:t>
            </w:r>
          </w:p>
        </w:tc>
        <w:tc>
          <w:tcPr>
            <w:tcW w:type="dxa" w:w="4933"/>
            <w:shd w:val="clear" w:color="auto" w:fill="D9D9D9"/>
          </w:tcPr>
          <w:p>
            <w:pPr>
              <w:spacing w:before="40" w:after="40"/>
              <w:jc w:val="center"/>
            </w:pPr>
            <w:r>
              <w:rPr>
                <w:rFonts w:ascii="Arial" w:hAnsi="Arial"/>
                <w:b/>
                <w:color w:val="000000"/>
                <w:sz w:val="18"/>
              </w:rPr>
              <w:t>Value</w:t>
            </w:r>
          </w:p>
        </w:tc>
      </w:tr>
      <w:tr>
        <w:tc>
          <w:tcPr>
            <w:tcW w:type="dxa" w:w="4933"/>
          </w:tcPr>
          <w:p>
            <w:pPr>
              <w:spacing w:before="20" w:after="20"/>
            </w:pPr>
            <w:r>
              <w:rPr>
                <w:rFonts w:ascii="Arial" w:hAnsi="Arial"/>
                <w:color w:val="000000"/>
                <w:sz w:val="18"/>
              </w:rPr>
              <w:t>Operating Pressure</w:t>
            </w:r>
          </w:p>
        </w:tc>
        <w:tc>
          <w:tcPr>
            <w:tcW w:type="dxa" w:w="4933"/>
          </w:tcPr>
          <w:p>
            <w:pPr>
              <w:spacing w:before="20" w:after="20"/>
            </w:pPr>
            <w:r>
              <w:rPr>
                <w:rFonts w:ascii="Arial" w:hAnsi="Arial"/>
                <w:color w:val="000000"/>
                <w:sz w:val="18"/>
              </w:rPr>
              <w:t>1,000,000 Pa (10 bar)</w:t>
            </w:r>
          </w:p>
        </w:tc>
      </w:tr>
      <w:tr>
        <w:tc>
          <w:tcPr>
            <w:tcW w:type="dxa" w:w="4933"/>
          </w:tcPr>
          <w:p>
            <w:pPr>
              <w:spacing w:before="20" w:after="20"/>
            </w:pPr>
            <w:r>
              <w:rPr>
                <w:rFonts w:ascii="Arial" w:hAnsi="Arial"/>
                <w:color w:val="000000"/>
                <w:sz w:val="18"/>
              </w:rPr>
              <w:t>Steam Inlet</w:t>
            </w:r>
          </w:p>
        </w:tc>
        <w:tc>
          <w:tcPr>
            <w:tcW w:type="dxa" w:w="4933"/>
          </w:tcPr>
          <w:p>
            <w:pPr>
              <w:spacing w:before="20" w:after="20"/>
            </w:pPr>
            <w:r>
              <w:rPr>
                <w:rFonts w:ascii="Arial" w:hAnsi="Arial"/>
                <w:color w:val="000000"/>
                <w:sz w:val="18"/>
              </w:rPr>
              <w:t>Top face — Velocity 30 m/s, T = 523 K, h2o = 1</w:t>
            </w:r>
          </w:p>
        </w:tc>
      </w:tr>
      <w:tr>
        <w:tc>
          <w:tcPr>
            <w:tcW w:type="dxa" w:w="4933"/>
          </w:tcPr>
          <w:p>
            <w:pPr>
              <w:spacing w:before="20" w:after="20"/>
            </w:pPr>
            <w:r>
              <w:rPr>
                <w:rFonts w:ascii="Arial" w:hAnsi="Arial"/>
                <w:color w:val="000000"/>
                <w:sz w:val="18"/>
              </w:rPr>
              <w:t>Steam Outlet</w:t>
            </w:r>
          </w:p>
        </w:tc>
        <w:tc>
          <w:tcPr>
            <w:tcW w:type="dxa" w:w="4933"/>
          </w:tcPr>
          <w:p>
            <w:pPr>
              <w:spacing w:before="20" w:after="20"/>
            </w:pPr>
            <w:r>
              <w:rPr>
                <w:rFonts w:ascii="Arial" w:hAnsi="Arial"/>
                <w:color w:val="000000"/>
                <w:sz w:val="18"/>
              </w:rPr>
              <w:t>Bottom face — Pressure Outlet, Gauge P = 0 Pa</w:t>
            </w:r>
          </w:p>
        </w:tc>
      </w:tr>
      <w:tr>
        <w:tc>
          <w:tcPr>
            <w:tcW w:type="dxa" w:w="4933"/>
          </w:tcPr>
          <w:p>
            <w:pPr>
              <w:spacing w:before="20" w:after="20"/>
            </w:pPr>
            <w:r>
              <w:rPr>
                <w:rFonts w:ascii="Arial" w:hAnsi="Arial"/>
                <w:color w:val="000000"/>
                <w:sz w:val="18"/>
              </w:rPr>
              <w:t>DPM Injection</w:t>
            </w:r>
          </w:p>
        </w:tc>
        <w:tc>
          <w:tcPr>
            <w:tcW w:type="dxa" w:w="4933"/>
          </w:tcPr>
          <w:p>
            <w:pPr>
              <w:spacing w:before="20" w:after="20"/>
            </w:pPr>
            <w:r>
              <w:rPr>
                <w:rFonts w:ascii="Arial" w:hAnsi="Arial"/>
                <w:color w:val="000000"/>
                <w:sz w:val="18"/>
              </w:rPr>
              <w:t>Cone, 120 streams, 40 m/s, +Y axis, Cone Half Angle 15°</w:t>
            </w:r>
          </w:p>
        </w:tc>
      </w:tr>
      <w:tr>
        <w:tc>
          <w:tcPr>
            <w:tcW w:type="dxa" w:w="4933"/>
          </w:tcPr>
          <w:p>
            <w:pPr>
              <w:spacing w:before="20" w:after="20"/>
            </w:pPr>
            <w:r>
              <w:rPr>
                <w:rFonts w:ascii="Arial" w:hAnsi="Arial"/>
                <w:color w:val="000000"/>
                <w:sz w:val="18"/>
              </w:rPr>
              <w:t>DPM Flow Rate</w:t>
            </w:r>
          </w:p>
        </w:tc>
        <w:tc>
          <w:tcPr>
            <w:tcW w:type="dxa" w:w="4933"/>
          </w:tcPr>
          <w:p>
            <w:pPr>
              <w:spacing w:before="20" w:after="20"/>
            </w:pPr>
            <w:r>
              <w:rPr>
                <w:rFonts w:ascii="Arial" w:hAnsi="Arial"/>
                <w:color w:val="000000"/>
                <w:sz w:val="18"/>
              </w:rPr>
              <w:t>0.1045 kg/s</w:t>
            </w:r>
          </w:p>
        </w:tc>
      </w:tr>
      <w:tr>
        <w:tc>
          <w:tcPr>
            <w:tcW w:type="dxa" w:w="4933"/>
          </w:tcPr>
          <w:p>
            <w:pPr>
              <w:spacing w:before="20" w:after="20"/>
            </w:pPr>
            <w:r>
              <w:rPr>
                <w:rFonts w:ascii="Arial" w:hAnsi="Arial"/>
                <w:color w:val="000000"/>
                <w:sz w:val="18"/>
              </w:rPr>
              <w:t>Droplet Mean Diameter</w:t>
            </w:r>
          </w:p>
        </w:tc>
        <w:tc>
          <w:tcPr>
            <w:tcW w:type="dxa" w:w="4933"/>
          </w:tcPr>
          <w:p>
            <w:pPr>
              <w:spacing w:before="20" w:after="20"/>
            </w:pPr>
            <w:r>
              <w:rPr>
                <w:rFonts w:ascii="Arial" w:hAnsi="Arial"/>
                <w:color w:val="000000"/>
                <w:sz w:val="18"/>
              </w:rPr>
              <w:t>0.025 mm</w:t>
            </w:r>
          </w:p>
        </w:tc>
      </w:tr>
      <w:tr>
        <w:tc>
          <w:tcPr>
            <w:tcW w:type="dxa" w:w="4933"/>
          </w:tcPr>
          <w:p>
            <w:pPr>
              <w:spacing w:before="20" w:after="20"/>
            </w:pPr>
            <w:r>
              <w:rPr>
                <w:rFonts w:ascii="Arial" w:hAnsi="Arial"/>
                <w:color w:val="000000"/>
                <w:sz w:val="18"/>
              </w:rPr>
              <w:t>Boiling Point</w:t>
            </w:r>
          </w:p>
        </w:tc>
        <w:tc>
          <w:tcPr>
            <w:tcW w:type="dxa" w:w="4933"/>
          </w:tcPr>
          <w:p>
            <w:pPr>
              <w:spacing w:before="20" w:after="20"/>
            </w:pPr>
            <w:r>
              <w:rPr>
                <w:rFonts w:ascii="Arial" w:hAnsi="Arial"/>
                <w:color w:val="000000"/>
                <w:sz w:val="18"/>
              </w:rPr>
              <w:t>453 K (at 10 bar)</w:t>
            </w:r>
          </w:p>
        </w:tc>
      </w:tr>
      <w:tr>
        <w:tc>
          <w:tcPr>
            <w:tcW w:type="dxa" w:w="4933"/>
          </w:tcPr>
          <w:p>
            <w:pPr>
              <w:spacing w:before="20" w:after="20"/>
            </w:pPr>
            <w:r>
              <w:rPr>
                <w:rFonts w:ascii="Arial" w:hAnsi="Arial"/>
                <w:color w:val="000000"/>
                <w:sz w:val="18"/>
              </w:rPr>
              <w:t>Latent Heat</w:t>
            </w:r>
          </w:p>
        </w:tc>
        <w:tc>
          <w:tcPr>
            <w:tcW w:type="dxa" w:w="4933"/>
          </w:tcPr>
          <w:p>
            <w:pPr>
              <w:spacing w:before="20" w:after="20"/>
            </w:pPr>
            <w:r>
              <w:rPr>
                <w:rFonts w:ascii="Arial" w:hAnsi="Arial"/>
                <w:color w:val="000000"/>
                <w:sz w:val="18"/>
              </w:rPr>
              <w:t>2,015,000 J/kg</w:t>
            </w:r>
          </w:p>
        </w:tc>
      </w:tr>
      <w:tr>
        <w:tc>
          <w:tcPr>
            <w:tcW w:type="dxa" w:w="4933"/>
          </w:tcPr>
          <w:p>
            <w:pPr>
              <w:spacing w:before="20" w:after="20"/>
            </w:pPr>
            <w:r>
              <w:rPr>
                <w:rFonts w:ascii="Arial" w:hAnsi="Arial"/>
                <w:color w:val="000000"/>
                <w:sz w:val="18"/>
              </w:rPr>
              <w:t>Turbulence</w:t>
            </w:r>
          </w:p>
        </w:tc>
        <w:tc>
          <w:tcPr>
            <w:tcW w:type="dxa" w:w="4933"/>
          </w:tcPr>
          <w:p>
            <w:pPr>
              <w:spacing w:before="20" w:after="20"/>
            </w:pPr>
            <w:r>
              <w:rPr>
                <w:rFonts w:ascii="Arial" w:hAnsi="Arial"/>
                <w:color w:val="000000"/>
                <w:sz w:val="18"/>
              </w:rPr>
              <w:t>SST k-ω</w:t>
            </w:r>
          </w:p>
        </w:tc>
      </w:tr>
      <w:tr>
        <w:tc>
          <w:tcPr>
            <w:tcW w:type="dxa" w:w="4933"/>
          </w:tcPr>
          <w:p>
            <w:pPr>
              <w:spacing w:before="20" w:after="20"/>
            </w:pPr>
            <w:r>
              <w:rPr>
                <w:rFonts w:ascii="Arial" w:hAnsi="Arial"/>
                <w:color w:val="000000"/>
                <w:sz w:val="18"/>
              </w:rPr>
              <w:t>Solver</w:t>
            </w:r>
          </w:p>
        </w:tc>
        <w:tc>
          <w:tcPr>
            <w:tcW w:type="dxa" w:w="4933"/>
          </w:tcPr>
          <w:p>
            <w:pPr>
              <w:spacing w:before="20" w:after="20"/>
            </w:pPr>
            <w:r>
              <w:rPr>
                <w:rFonts w:ascii="Arial" w:hAnsi="Arial"/>
                <w:color w:val="000000"/>
                <w:sz w:val="18"/>
              </w:rPr>
              <w:t>Coupled, 2nd Order, Transient</w:t>
            </w:r>
          </w:p>
        </w:tc>
      </w:tr>
      <w:tr>
        <w:tc>
          <w:tcPr>
            <w:tcW w:type="dxa" w:w="4933"/>
          </w:tcPr>
          <w:p>
            <w:pPr>
              <w:spacing w:before="20" w:after="20"/>
            </w:pPr>
            <w:r>
              <w:rPr>
                <w:rFonts w:ascii="Arial" w:hAnsi="Arial"/>
                <w:color w:val="000000"/>
                <w:sz w:val="18"/>
              </w:rPr>
              <w:t>Time Step</w:t>
            </w:r>
          </w:p>
        </w:tc>
        <w:tc>
          <w:tcPr>
            <w:tcW w:type="dxa" w:w="4933"/>
          </w:tcPr>
          <w:p>
            <w:pPr>
              <w:spacing w:before="20" w:after="20"/>
            </w:pPr>
            <w:r>
              <w:rPr>
                <w:rFonts w:ascii="Arial" w:hAnsi="Arial"/>
                <w:color w:val="000000"/>
                <w:sz w:val="18"/>
              </w:rPr>
              <w:t>0.0002 s × 2,500 steps = 0.5 s total</w:t>
            </w:r>
          </w:p>
        </w:tc>
      </w:tr>
    </w:tbl>
    <w:p>
      <w:pPr>
        <w:spacing w:before="0" w:after="40"/>
      </w:pPr>
      <w:r>
        <w:rPr>
          <w:rFonts w:ascii="Arial" w:hAnsi="Arial"/>
          <w:b w:val="0"/>
          <w:color w:val="000000"/>
          <w:sz w:val="20"/>
        </w:rPr>
      </w:r>
    </w:p>
    <w:p>
      <w:pPr>
        <w:pStyle w:val="Heading1"/>
        <w:spacing w:before="160" w:after="80"/>
      </w:pPr>
      <w:r>
        <w:rPr>
          <w:rFonts w:ascii="Arial" w:hAnsi="Arial"/>
          <w:color w:val="000000"/>
        </w:rPr>
        <w:t>3. Results — Counter-Current Flow</w:t>
      </w:r>
    </w:p>
    <w:p>
      <w:pPr>
        <w:pStyle w:val="Heading2"/>
        <w:spacing w:before="120" w:after="80"/>
      </w:pPr>
      <w:r>
        <w:rPr>
          <w:rFonts w:ascii="Arial" w:hAnsi="Arial"/>
          <w:color w:val="000000"/>
        </w:rPr>
        <w:t>3.1 Residuals</w:t>
      </w:r>
    </w:p>
    <w:p>
      <w:pPr>
        <w:spacing w:before="40" w:after="20"/>
        <w:jc w:val="center"/>
      </w:pPr>
      <w:r>
        <w:drawing>
          <wp:inline xmlns:a="http://schemas.openxmlformats.org/drawingml/2006/main" xmlns:pic="http://schemas.openxmlformats.org/drawingml/2006/picture">
            <wp:extent cx="5486400" cy="2494205"/>
            <wp:docPr id="1" name="Picture 1"/>
            <wp:cNvGraphicFramePr>
              <a:graphicFrameLocks noChangeAspect="1"/>
            </wp:cNvGraphicFramePr>
            <a:graphic>
              <a:graphicData uri="http://schemas.openxmlformats.org/drawingml/2006/picture">
                <pic:pic>
                  <pic:nvPicPr>
                    <pic:cNvPr id="0" name="image22.png"/>
                    <pic:cNvPicPr/>
                  </pic:nvPicPr>
                  <pic:blipFill>
                    <a:blip r:embed="rId9"/>
                    <a:stretch>
                      <a:fillRect/>
                    </a:stretch>
                  </pic:blipFill>
                  <pic:spPr>
                    <a:xfrm>
                      <a:off x="0" y="0"/>
                      <a:ext cx="5486400" cy="2494205"/>
                    </a:xfrm>
                    <a:prstGeom prst="rect"/>
                  </pic:spPr>
                </pic:pic>
              </a:graphicData>
            </a:graphic>
          </wp:inline>
        </w:drawing>
      </w:r>
    </w:p>
    <w:p>
      <w:pPr>
        <w:spacing w:before="0" w:after="80"/>
        <w:jc w:val="center"/>
      </w:pPr>
      <w:r>
        <w:rPr>
          <w:rFonts w:ascii="Arial" w:hAnsi="Arial"/>
          <w:i/>
          <w:color w:val="000000"/>
          <w:sz w:val="17"/>
        </w:rPr>
        <w:t>Fig 3.1 — Scaled Residuals (Time = 0.5 s). Continuity ~1e-2, velocity 1e-4 to 1e-3, energy ~1e-8. More oscillatory than co-current due to opposing flow interaction.</w:t>
      </w:r>
    </w:p>
    <w:p>
      <w:pPr>
        <w:pStyle w:val="Heading2"/>
        <w:spacing w:before="120" w:after="80"/>
      </w:pPr>
      <w:r>
        <w:rPr>
          <w:rFonts w:ascii="Arial" w:hAnsi="Arial"/>
          <w:color w:val="000000"/>
        </w:rPr>
        <w:t>3.2 Temperature Distribution</w:t>
      </w:r>
    </w:p>
    <w:p>
      <w:pPr>
        <w:spacing w:before="0" w:after="60"/>
      </w:pPr>
      <w:r>
        <w:rPr>
          <w:rFonts w:ascii="Arial" w:hAnsi="Arial"/>
          <w:b w:val="0"/>
          <w:color w:val="000000"/>
          <w:sz w:val="20"/>
        </w:rPr>
        <w:t>The temperature contour shows a highly localized cooling zone near the nozzle exit at the bottom of the pipe. The minimum temperature reaches approximately 364 K, significantly lower than in co-current flow (434 K). However, the cooling zone does not extend far up the pipe because the spray is opposed by the downward-flowing steam, limiting penetration.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4933"/>
          </w:tcPr>
          <w:p>
            <w:pPr>
              <w:jc w:val="center"/>
            </w:pPr>
            <w:r>
              <w:drawing>
                <wp:inline xmlns:a="http://schemas.openxmlformats.org/drawingml/2006/main" xmlns:pic="http://schemas.openxmlformats.org/drawingml/2006/picture">
                  <wp:extent cx="2651760" cy="1205532"/>
                  <wp:docPr id="2" name="Picture 2"/>
                  <wp:cNvGraphicFramePr>
                    <a:graphicFrameLocks noChangeAspect="1"/>
                  </wp:cNvGraphicFramePr>
                  <a:graphic>
                    <a:graphicData uri="http://schemas.openxmlformats.org/drawingml/2006/picture">
                      <pic:pic>
                        <pic:nvPicPr>
                          <pic:cNvPr id="0" name="image9.png"/>
                          <pic:cNvPicPr/>
                        </pic:nvPicPr>
                        <pic:blipFill>
                          <a:blip r:embed="rId10"/>
                          <a:stretch>
                            <a:fillRect/>
                          </a:stretch>
                        </pic:blipFill>
                        <pic:spPr>
                          <a:xfrm>
                            <a:off x="0" y="0"/>
                            <a:ext cx="2651760" cy="1205532"/>
                          </a:xfrm>
                          <a:prstGeom prst="rect"/>
                        </pic:spPr>
                      </pic:pic>
                    </a:graphicData>
                  </a:graphic>
                </wp:inline>
              </w:drawing>
            </w:r>
          </w:p>
        </w:tc>
        <w:tc>
          <w:tcPr>
            <w:tcW w:type="dxa" w:w="4933"/>
          </w:tcPr>
          <w:p>
            <w:pPr>
              <w:jc w:val="center"/>
            </w:pPr>
            <w:r>
              <w:drawing>
                <wp:inline xmlns:a="http://schemas.openxmlformats.org/drawingml/2006/main" xmlns:pic="http://schemas.openxmlformats.org/drawingml/2006/picture">
                  <wp:extent cx="2651760" cy="1205532"/>
                  <wp:docPr id="3" name="Picture 3"/>
                  <wp:cNvGraphicFramePr>
                    <a:graphicFrameLocks noChangeAspect="1"/>
                  </wp:cNvGraphicFramePr>
                  <a:graphic>
                    <a:graphicData uri="http://schemas.openxmlformats.org/drawingml/2006/picture">
                      <pic:pic>
                        <pic:nvPicPr>
                          <pic:cNvPr id="0" name="image10.png"/>
                          <pic:cNvPicPr/>
                        </pic:nvPicPr>
                        <pic:blipFill>
                          <a:blip r:embed="rId11"/>
                          <a:stretch>
                            <a:fillRect/>
                          </a:stretch>
                        </pic:blipFill>
                        <pic:spPr>
                          <a:xfrm>
                            <a:off x="0" y="0"/>
                            <a:ext cx="2651760" cy="1205532"/>
                          </a:xfrm>
                          <a:prstGeom prst="rect"/>
                        </pic:spPr>
                      </pic:pic>
                    </a:graphicData>
                  </a:graphic>
                </wp:inline>
              </w:drawing>
            </w:r>
          </w:p>
        </w:tc>
      </w:tr>
      <w:tr>
        <w:tc>
          <w:tcPr>
            <w:tcW w:type="dxa" w:w="4933"/>
          </w:tcPr>
          <w:p>
            <w:pPr>
              <w:jc w:val="center"/>
            </w:pPr>
            <w:r>
              <w:rPr>
                <w:rFonts w:ascii="Arial" w:hAnsi="Arial"/>
                <w:i/>
                <w:sz w:val="16"/>
              </w:rPr>
              <w:t>Fig 3.2a — Temperature contour (center plane, min 364 K)</w:t>
            </w:r>
          </w:p>
        </w:tc>
        <w:tc>
          <w:tcPr>
            <w:tcW w:type="dxa" w:w="4933"/>
          </w:tcPr>
          <w:p>
            <w:pPr>
              <w:jc w:val="center"/>
            </w:pPr>
            <w:r>
              <w:rPr>
                <w:rFonts w:ascii="Arial" w:hAnsi="Arial"/>
                <w:i/>
                <w:sz w:val="16"/>
              </w:rPr>
              <w:t>Fig 3.2b — Temperature contour (cross-section)</w:t>
            </w:r>
          </w:p>
        </w:tc>
      </w:tr>
    </w:tbl>
    <w:p>
      <w:pPr>
        <w:spacing w:before="0" w:after="40"/>
      </w:pPr>
      <w:r>
        <w:rPr>
          <w:rFonts w:ascii="Arial" w:hAnsi="Arial"/>
          <w:b w:val="0"/>
          <w:color w:val="000000"/>
          <w:sz w:val="20"/>
        </w:rPr>
      </w:r>
    </w:p>
    <w:p>
      <w:pPr>
        <w:pStyle w:val="Heading2"/>
        <w:spacing w:before="120" w:after="80"/>
      </w:pPr>
      <w:r>
        <w:rPr>
          <w:rFonts w:ascii="Arial" w:hAnsi="Arial"/>
          <w:color w:val="000000"/>
        </w:rPr>
        <w:t>3.3 Outlet Temperature vs. Time</w:t>
      </w:r>
    </w:p>
    <w:p>
      <w:pPr>
        <w:spacing w:before="0" w:after="60"/>
      </w:pPr>
      <w:r>
        <w:rPr>
          <w:rFonts w:ascii="Arial" w:hAnsi="Arial"/>
          <w:b w:val="0"/>
          <w:color w:val="000000"/>
          <w:sz w:val="20"/>
        </w:rPr>
        <w:t>The outlet temperature (bottom of pipe) shows significant initial oscillations (470–525 K) during the first 0.1 s as the counter-current flow establishes itself. It then gradually stabilizes at approximately 508–510 K, representing a temperature reduction of ~13–15 K from the 523 K inlet. The convergence is slower and more oscillatory compared to co-current flow.</w:t>
      </w:r>
    </w:p>
    <w:p>
      <w:pPr>
        <w:spacing w:before="40" w:after="20"/>
        <w:jc w:val="center"/>
      </w:pPr>
      <w:r>
        <w:drawing>
          <wp:inline xmlns:a="http://schemas.openxmlformats.org/drawingml/2006/main" xmlns:pic="http://schemas.openxmlformats.org/drawingml/2006/picture">
            <wp:extent cx="5486400" cy="2494205"/>
            <wp:docPr id="4" name="Picture 4"/>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486400" cy="2494205"/>
                    </a:xfrm>
                    <a:prstGeom prst="rect"/>
                  </pic:spPr>
                </pic:pic>
              </a:graphicData>
            </a:graphic>
          </wp:inline>
        </w:drawing>
      </w:r>
    </w:p>
    <w:p>
      <w:pPr>
        <w:spacing w:before="0" w:after="80"/>
        <w:jc w:val="center"/>
      </w:pPr>
      <w:r>
        <w:rPr>
          <w:rFonts w:ascii="Arial" w:hAnsi="Arial"/>
          <w:i/>
          <w:color w:val="000000"/>
          <w:sz w:val="17"/>
        </w:rPr>
        <w:t>Fig 3.3 — Outlet Temperature vs. Flow Time (stabilized at ~508–510 K)</w:t>
      </w:r>
    </w:p>
    <w:p>
      <w:pPr>
        <w:pStyle w:val="Heading2"/>
        <w:spacing w:before="120" w:after="80"/>
      </w:pPr>
      <w:r>
        <w:rPr>
          <w:rFonts w:ascii="Arial" w:hAnsi="Arial"/>
          <w:color w:val="000000"/>
        </w:rPr>
        <w:t>3.4 Evaporation Rate</w:t>
      </w:r>
    </w:p>
    <w:p>
      <w:pPr>
        <w:spacing w:before="0" w:after="60"/>
      </w:pPr>
      <w:r>
        <w:rPr>
          <w:rFonts w:ascii="Arial" w:hAnsi="Arial"/>
          <w:b w:val="0"/>
          <w:color w:val="000000"/>
          <w:sz w:val="20"/>
        </w:rPr>
        <w:t>The evaporation rate in counter-current flow shows a markedly different pattern from co-current flow. It peaks at approximately 0.007 kg/s during the initial transient, then decreases and oscillates around 0.0025 kg/s at steady state. This is approximately 3.5 times lower than the co-current evaporation rate (0.0088 kg/s), because the opposing steam flow limits the contact time between droplets and hot steam.</w:t>
      </w:r>
    </w:p>
    <w:p>
      <w:pPr>
        <w:spacing w:before="40" w:after="20"/>
        <w:jc w:val="center"/>
      </w:pPr>
      <w:r>
        <w:drawing>
          <wp:inline xmlns:a="http://schemas.openxmlformats.org/drawingml/2006/main" xmlns:pic="http://schemas.openxmlformats.org/drawingml/2006/picture">
            <wp:extent cx="5486400" cy="2494205"/>
            <wp:docPr id="5" name="Picture 5"/>
            <wp:cNvGraphicFramePr>
              <a:graphicFrameLocks noChangeAspect="1"/>
            </wp:cNvGraphicFramePr>
            <a:graphic>
              <a:graphicData uri="http://schemas.openxmlformats.org/drawingml/2006/picture">
                <pic:pic>
                  <pic:nvPicPr>
                    <pic:cNvPr id="0" name="image15.png"/>
                    <pic:cNvPicPr/>
                  </pic:nvPicPr>
                  <pic:blipFill>
                    <a:blip r:embed="rId13"/>
                    <a:stretch>
                      <a:fillRect/>
                    </a:stretch>
                  </pic:blipFill>
                  <pic:spPr>
                    <a:xfrm>
                      <a:off x="0" y="0"/>
                      <a:ext cx="5486400" cy="2494205"/>
                    </a:xfrm>
                    <a:prstGeom prst="rect"/>
                  </pic:spPr>
                </pic:pic>
              </a:graphicData>
            </a:graphic>
          </wp:inline>
        </w:drawing>
      </w:r>
    </w:p>
    <w:p>
      <w:pPr>
        <w:spacing w:before="0" w:after="80"/>
        <w:jc w:val="center"/>
      </w:pPr>
      <w:r>
        <w:rPr>
          <w:rFonts w:ascii="Arial" w:hAnsi="Arial"/>
          <w:i/>
          <w:color w:val="000000"/>
          <w:sz w:val="17"/>
        </w:rPr>
        <w:t>Fig 3.4 — Evaporation Rate vs. Flow Time (stabilized at ~0.0025 kg/s)</w:t>
      </w:r>
    </w:p>
    <w:p>
      <w:pPr>
        <w:pStyle w:val="Heading2"/>
        <w:spacing w:before="120" w:after="80"/>
      </w:pPr>
      <w:r>
        <w:rPr>
          <w:rFonts w:ascii="Arial" w:hAnsi="Arial"/>
          <w:color w:val="000000"/>
        </w:rPr>
        <w:t>3.5 Pressure Distribution</w:t>
      </w:r>
    </w:p>
    <w:p>
      <w:pPr>
        <w:spacing w:before="0" w:after="60"/>
      </w:pPr>
      <w:r>
        <w:rPr>
          <w:rFonts w:ascii="Arial" w:hAnsi="Arial"/>
          <w:b w:val="0"/>
          <w:color w:val="000000"/>
          <w:sz w:val="20"/>
        </w:rPr>
        <w:t>The pressure contour shows a notable region of negative gauge pressure near the nozzle exit zone (down to −1,790 Pa), caused by the opposing momentum of the spray and steam. This creates a local low-pressure zone where the spray and steam collide.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4933"/>
          </w:tcPr>
          <w:p>
            <w:pPr>
              <w:jc w:val="center"/>
            </w:pPr>
            <w:r>
              <w:drawing>
                <wp:inline xmlns:a="http://schemas.openxmlformats.org/drawingml/2006/main" xmlns:pic="http://schemas.openxmlformats.org/drawingml/2006/picture">
                  <wp:extent cx="2651760" cy="1205532"/>
                  <wp:docPr id="6" name="Picture 6"/>
                  <wp:cNvGraphicFramePr>
                    <a:graphicFrameLocks noChangeAspect="1"/>
                  </wp:cNvGraphicFramePr>
                  <a:graphic>
                    <a:graphicData uri="http://schemas.openxmlformats.org/drawingml/2006/picture">
                      <pic:pic>
                        <pic:nvPicPr>
                          <pic:cNvPr id="0" name="image7.png"/>
                          <pic:cNvPicPr/>
                        </pic:nvPicPr>
                        <pic:blipFill>
                          <a:blip r:embed="rId14"/>
                          <a:stretch>
                            <a:fillRect/>
                          </a:stretch>
                        </pic:blipFill>
                        <pic:spPr>
                          <a:xfrm>
                            <a:off x="0" y="0"/>
                            <a:ext cx="2651760" cy="1205532"/>
                          </a:xfrm>
                          <a:prstGeom prst="rect"/>
                        </pic:spPr>
                      </pic:pic>
                    </a:graphicData>
                  </a:graphic>
                </wp:inline>
              </w:drawing>
            </w:r>
          </w:p>
        </w:tc>
        <w:tc>
          <w:tcPr>
            <w:tcW w:type="dxa" w:w="4933"/>
          </w:tcPr>
          <w:p>
            <w:pPr>
              <w:jc w:val="center"/>
            </w:pPr>
            <w:r>
              <w:drawing>
                <wp:inline xmlns:a="http://schemas.openxmlformats.org/drawingml/2006/main" xmlns:pic="http://schemas.openxmlformats.org/drawingml/2006/picture">
                  <wp:extent cx="2651760" cy="1205532"/>
                  <wp:docPr id="7" name="Picture 7"/>
                  <wp:cNvGraphicFramePr>
                    <a:graphicFrameLocks noChangeAspect="1"/>
                  </wp:cNvGraphicFramePr>
                  <a:graphic>
                    <a:graphicData uri="http://schemas.openxmlformats.org/drawingml/2006/picture">
                      <pic:pic>
                        <pic:nvPicPr>
                          <pic:cNvPr id="0" name="image8.png"/>
                          <pic:cNvPicPr/>
                        </pic:nvPicPr>
                        <pic:blipFill>
                          <a:blip r:embed="rId15"/>
                          <a:stretch>
                            <a:fillRect/>
                          </a:stretch>
                        </pic:blipFill>
                        <pic:spPr>
                          <a:xfrm>
                            <a:off x="0" y="0"/>
                            <a:ext cx="2651760" cy="1205532"/>
                          </a:xfrm>
                          <a:prstGeom prst="rect"/>
                        </pic:spPr>
                      </pic:pic>
                    </a:graphicData>
                  </a:graphic>
                </wp:inline>
              </w:drawing>
            </w:r>
          </w:p>
        </w:tc>
      </w:tr>
      <w:tr>
        <w:tc>
          <w:tcPr>
            <w:tcW w:type="dxa" w:w="4933"/>
          </w:tcPr>
          <w:p>
            <w:pPr>
              <w:jc w:val="center"/>
            </w:pPr>
            <w:r>
              <w:rPr>
                <w:rFonts w:ascii="Arial" w:hAnsi="Arial"/>
                <w:i/>
                <w:sz w:val="16"/>
              </w:rPr>
              <w:t>Fig 3.5a — Static pressure contour (center plane)</w:t>
            </w:r>
          </w:p>
        </w:tc>
        <w:tc>
          <w:tcPr>
            <w:tcW w:type="dxa" w:w="4933"/>
          </w:tcPr>
          <w:p>
            <w:pPr>
              <w:jc w:val="center"/>
            </w:pPr>
            <w:r>
              <w:rPr>
                <w:rFonts w:ascii="Arial" w:hAnsi="Arial"/>
                <w:i/>
                <w:sz w:val="16"/>
              </w:rPr>
              <w:t>Fig 3.5b — Static pressure contour (cross-section)</w:t>
            </w:r>
          </w:p>
        </w:tc>
      </w:tr>
    </w:tbl>
    <w:p>
      <w:pPr>
        <w:spacing w:before="0" w:after="40"/>
      </w:pPr>
      <w:r>
        <w:rPr>
          <w:rFonts w:ascii="Arial" w:hAnsi="Arial"/>
          <w:b w:val="0"/>
          <w:color w:val="000000"/>
          <w:sz w:val="20"/>
        </w:rPr>
      </w:r>
    </w:p>
    <w:p>
      <w:pPr>
        <w:pStyle w:val="Heading2"/>
        <w:spacing w:before="120" w:after="80"/>
      </w:pPr>
      <w:r>
        <w:rPr>
          <w:rFonts w:ascii="Arial" w:hAnsi="Arial"/>
          <w:color w:val="000000"/>
        </w:rPr>
        <w:t>3.6 Pressure Drop vs. Time</w:t>
      </w:r>
    </w:p>
    <w:p>
      <w:pPr>
        <w:spacing w:before="0" w:after="60"/>
      </w:pPr>
      <w:r>
        <w:rPr>
          <w:rFonts w:ascii="Arial" w:hAnsi="Arial"/>
          <w:b w:val="0"/>
          <w:color w:val="000000"/>
          <w:sz w:val="20"/>
        </w:rPr>
        <w:t>The pressure drop shows extremely large initial oscillations (±80,000 Pa) that gradually dampen over 0.3 s and stabilize near 0 Pa. The initial instability is caused by the strong counter-current interaction as the spray and steam establish equilibrium. This is dramatically different from co-current flow where pressure drop oscillated only between 1,200–2,600 Pa.</w:t>
      </w:r>
    </w:p>
    <w:p>
      <w:pPr>
        <w:spacing w:before="40" w:after="20"/>
        <w:jc w:val="center"/>
      </w:pPr>
      <w:r>
        <w:drawing>
          <wp:inline xmlns:a="http://schemas.openxmlformats.org/drawingml/2006/main" xmlns:pic="http://schemas.openxmlformats.org/drawingml/2006/picture">
            <wp:extent cx="5486400" cy="2494205"/>
            <wp:docPr id="8" name="Picture 8"/>
            <wp:cNvGraphicFramePr>
              <a:graphicFrameLocks noChangeAspect="1"/>
            </wp:cNvGraphicFramePr>
            <a:graphic>
              <a:graphicData uri="http://schemas.openxmlformats.org/drawingml/2006/picture">
                <pic:pic>
                  <pic:nvPicPr>
                    <pic:cNvPr id="0" name="image21.png"/>
                    <pic:cNvPicPr/>
                  </pic:nvPicPr>
                  <pic:blipFill>
                    <a:blip r:embed="rId16"/>
                    <a:stretch>
                      <a:fillRect/>
                    </a:stretch>
                  </pic:blipFill>
                  <pic:spPr>
                    <a:xfrm>
                      <a:off x="0" y="0"/>
                      <a:ext cx="5486400" cy="2494205"/>
                    </a:xfrm>
                    <a:prstGeom prst="rect"/>
                  </pic:spPr>
                </pic:pic>
              </a:graphicData>
            </a:graphic>
          </wp:inline>
        </w:drawing>
      </w:r>
    </w:p>
    <w:p>
      <w:pPr>
        <w:spacing w:before="0" w:after="80"/>
        <w:jc w:val="center"/>
      </w:pPr>
      <w:r>
        <w:rPr>
          <w:rFonts w:ascii="Arial" w:hAnsi="Arial"/>
          <w:i/>
          <w:color w:val="000000"/>
          <w:sz w:val="17"/>
        </w:rPr>
        <w:t>Fig 3.6 — Pressure Drop vs. Flow Time (initial ±80 kPa oscillations, settles near 0)</w:t>
      </w:r>
    </w:p>
    <w:p>
      <w:pPr>
        <w:pStyle w:val="Heading2"/>
        <w:spacing w:before="120" w:after="80"/>
      </w:pPr>
      <w:r>
        <w:rPr>
          <w:rFonts w:ascii="Arial" w:hAnsi="Arial"/>
          <w:color w:val="000000"/>
        </w:rPr>
        <w:t>3.7 Velocity Distribution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4933"/>
          </w:tcPr>
          <w:p>
            <w:pPr>
              <w:jc w:val="center"/>
            </w:pPr>
            <w:r>
              <w:drawing>
                <wp:inline xmlns:a="http://schemas.openxmlformats.org/drawingml/2006/main" xmlns:pic="http://schemas.openxmlformats.org/drawingml/2006/picture">
                  <wp:extent cx="2651760" cy="1205532"/>
                  <wp:docPr id="9" name="Picture 9"/>
                  <wp:cNvGraphicFramePr>
                    <a:graphicFrameLocks noChangeAspect="1"/>
                  </wp:cNvGraphicFramePr>
                  <a:graphic>
                    <a:graphicData uri="http://schemas.openxmlformats.org/drawingml/2006/picture">
                      <pic:pic>
                        <pic:nvPicPr>
                          <pic:cNvPr id="0" name="image13.png"/>
                          <pic:cNvPicPr/>
                        </pic:nvPicPr>
                        <pic:blipFill>
                          <a:blip r:embed="rId17"/>
                          <a:stretch>
                            <a:fillRect/>
                          </a:stretch>
                        </pic:blipFill>
                        <pic:spPr>
                          <a:xfrm>
                            <a:off x="0" y="0"/>
                            <a:ext cx="2651760" cy="1205532"/>
                          </a:xfrm>
                          <a:prstGeom prst="rect"/>
                        </pic:spPr>
                      </pic:pic>
                    </a:graphicData>
                  </a:graphic>
                </wp:inline>
              </w:drawing>
            </w:r>
          </w:p>
        </w:tc>
        <w:tc>
          <w:tcPr>
            <w:tcW w:type="dxa" w:w="4933"/>
          </w:tcPr>
          <w:p>
            <w:pPr>
              <w:jc w:val="center"/>
            </w:pPr>
            <w:r>
              <w:drawing>
                <wp:inline xmlns:a="http://schemas.openxmlformats.org/drawingml/2006/main" xmlns:pic="http://schemas.openxmlformats.org/drawingml/2006/picture">
                  <wp:extent cx="2651760" cy="1205532"/>
                  <wp:docPr id="10" name="Picture 10"/>
                  <wp:cNvGraphicFramePr>
                    <a:graphicFrameLocks noChangeAspect="1"/>
                  </wp:cNvGraphicFramePr>
                  <a:graphic>
                    <a:graphicData uri="http://schemas.openxmlformats.org/drawingml/2006/picture">
                      <pic:pic>
                        <pic:nvPicPr>
                          <pic:cNvPr id="0" name="image14.png"/>
                          <pic:cNvPicPr/>
                        </pic:nvPicPr>
                        <pic:blipFill>
                          <a:blip r:embed="rId18"/>
                          <a:stretch>
                            <a:fillRect/>
                          </a:stretch>
                        </pic:blipFill>
                        <pic:spPr>
                          <a:xfrm>
                            <a:off x="0" y="0"/>
                            <a:ext cx="2651760" cy="1205532"/>
                          </a:xfrm>
                          <a:prstGeom prst="rect"/>
                        </pic:spPr>
                      </pic:pic>
                    </a:graphicData>
                  </a:graphic>
                </wp:inline>
              </w:drawing>
            </w:r>
          </w:p>
        </w:tc>
      </w:tr>
      <w:tr>
        <w:tc>
          <w:tcPr>
            <w:tcW w:type="dxa" w:w="4933"/>
          </w:tcPr>
          <w:p>
            <w:pPr>
              <w:jc w:val="center"/>
            </w:pPr>
            <w:r>
              <w:rPr>
                <w:rFonts w:ascii="Arial" w:hAnsi="Arial"/>
                <w:i/>
                <w:sz w:val="16"/>
              </w:rPr>
              <w:t>Fig 3.7a — Velocity magnitude contour (center plane)</w:t>
            </w:r>
          </w:p>
        </w:tc>
        <w:tc>
          <w:tcPr>
            <w:tcW w:type="dxa" w:w="4933"/>
          </w:tcPr>
          <w:p>
            <w:pPr>
              <w:jc w:val="center"/>
            </w:pPr>
            <w:r>
              <w:rPr>
                <w:rFonts w:ascii="Arial" w:hAnsi="Arial"/>
                <w:i/>
                <w:sz w:val="16"/>
              </w:rPr>
              <w:t>Fig 3.7b — Velocity magnitude contour (cross-section)</w:t>
            </w:r>
          </w:p>
        </w:tc>
      </w:tr>
    </w:tbl>
    <w:p>
      <w:pPr>
        <w:spacing w:before="0" w:after="40"/>
      </w:pPr>
      <w:r>
        <w:rPr>
          <w:rFonts w:ascii="Arial" w:hAnsi="Arial"/>
          <w:b w:val="0"/>
          <w:color w:val="000000"/>
          <w:sz w:val="20"/>
        </w:rPr>
      </w:r>
    </w:p>
    <w:p>
      <w:pPr>
        <w:pStyle w:val="Heading2"/>
        <w:spacing w:before="120" w:after="80"/>
      </w:pPr>
      <w:r>
        <w:rPr>
          <w:rFonts w:ascii="Arial" w:hAnsi="Arial"/>
          <w:color w:val="000000"/>
        </w:rPr>
        <w:t>3.8 Outlet Velocity vs. Time</w:t>
      </w:r>
    </w:p>
    <w:p>
      <w:pPr>
        <w:spacing w:before="0" w:after="60"/>
      </w:pPr>
      <w:r>
        <w:rPr>
          <w:rFonts w:ascii="Arial" w:hAnsi="Arial"/>
          <w:b w:val="0"/>
          <w:color w:val="000000"/>
          <w:sz w:val="20"/>
        </w:rPr>
        <w:t>The outlet velocity shows extremely large initial oscillations (0–100 m/s) that dampen over time and stabilize at approximately 30 m/s. The initial instability reflects the transient counter-current momentum exchange between the spray and steam.</w:t>
      </w:r>
    </w:p>
    <w:p>
      <w:pPr>
        <w:spacing w:before="40" w:after="20"/>
        <w:jc w:val="center"/>
      </w:pPr>
      <w:r>
        <w:drawing>
          <wp:inline xmlns:a="http://schemas.openxmlformats.org/drawingml/2006/main" xmlns:pic="http://schemas.openxmlformats.org/drawingml/2006/picture">
            <wp:extent cx="5486400" cy="2494205"/>
            <wp:docPr id="11" name="Picture 11"/>
            <wp:cNvGraphicFramePr>
              <a:graphicFrameLocks noChangeAspect="1"/>
            </wp:cNvGraphicFramePr>
            <a:graphic>
              <a:graphicData uri="http://schemas.openxmlformats.org/drawingml/2006/picture">
                <pic:pic>
                  <pic:nvPicPr>
                    <pic:cNvPr id="0" name="image4.png"/>
                    <pic:cNvPicPr/>
                  </pic:nvPicPr>
                  <pic:blipFill>
                    <a:blip r:embed="rId19"/>
                    <a:stretch>
                      <a:fillRect/>
                    </a:stretch>
                  </pic:blipFill>
                  <pic:spPr>
                    <a:xfrm>
                      <a:off x="0" y="0"/>
                      <a:ext cx="5486400" cy="2494205"/>
                    </a:xfrm>
                    <a:prstGeom prst="rect"/>
                  </pic:spPr>
                </pic:pic>
              </a:graphicData>
            </a:graphic>
          </wp:inline>
        </w:drawing>
      </w:r>
    </w:p>
    <w:p>
      <w:pPr>
        <w:spacing w:before="0" w:after="80"/>
        <w:jc w:val="center"/>
      </w:pPr>
      <w:r>
        <w:rPr>
          <w:rFonts w:ascii="Arial" w:hAnsi="Arial"/>
          <w:i/>
          <w:color w:val="000000"/>
          <w:sz w:val="17"/>
        </w:rPr>
        <w:t>Fig 3.8 — Outlet Velocity vs. Flow Time (initial 0–100 m/s oscillations, stabilizes at ~30 m/s)</w:t>
      </w:r>
    </w:p>
    <w:p>
      <w:pPr>
        <w:pStyle w:val="Heading2"/>
        <w:spacing w:before="120" w:after="80"/>
      </w:pPr>
      <w:r>
        <w:rPr>
          <w:rFonts w:ascii="Arial" w:hAnsi="Arial"/>
          <w:color w:val="000000"/>
        </w:rPr>
        <w:t>3.9 Velocity Pathlines</w:t>
      </w:r>
    </w:p>
    <w:p>
      <w:pPr>
        <w:spacing w:before="40" w:after="20"/>
        <w:jc w:val="center"/>
      </w:pPr>
      <w:r>
        <w:drawing>
          <wp:inline xmlns:a="http://schemas.openxmlformats.org/drawingml/2006/main" xmlns:pic="http://schemas.openxmlformats.org/drawingml/2006/picture">
            <wp:extent cx="5486400" cy="2494205"/>
            <wp:docPr id="12" name="Picture 12"/>
            <wp:cNvGraphicFramePr>
              <a:graphicFrameLocks noChangeAspect="1"/>
            </wp:cNvGraphicFramePr>
            <a:graphic>
              <a:graphicData uri="http://schemas.openxmlformats.org/drawingml/2006/picture">
                <pic:pic>
                  <pic:nvPicPr>
                    <pic:cNvPr id="0" name="image20.png"/>
                    <pic:cNvPicPr/>
                  </pic:nvPicPr>
                  <pic:blipFill>
                    <a:blip r:embed="rId20"/>
                    <a:stretch>
                      <a:fillRect/>
                    </a:stretch>
                  </pic:blipFill>
                  <pic:spPr>
                    <a:xfrm>
                      <a:off x="0" y="0"/>
                      <a:ext cx="5486400" cy="2494205"/>
                    </a:xfrm>
                    <a:prstGeom prst="rect"/>
                  </pic:spPr>
                </pic:pic>
              </a:graphicData>
            </a:graphic>
          </wp:inline>
        </w:drawing>
      </w:r>
    </w:p>
    <w:p>
      <w:pPr>
        <w:spacing w:before="0" w:after="80"/>
        <w:jc w:val="center"/>
      </w:pPr>
      <w:r>
        <w:rPr>
          <w:rFonts w:ascii="Arial" w:hAnsi="Arial"/>
          <w:i/>
          <w:color w:val="000000"/>
          <w:sz w:val="17"/>
        </w:rPr>
        <w:t>Fig 3.9 — Pathlines colored by Velocity Magnitude (3D view)</w:t>
      </w:r>
    </w:p>
    <w:p>
      <w:pPr>
        <w:pStyle w:val="Heading2"/>
        <w:spacing w:before="120" w:after="80"/>
      </w:pPr>
      <w:r>
        <w:rPr>
          <w:rFonts w:ascii="Arial" w:hAnsi="Arial"/>
          <w:color w:val="000000"/>
        </w:rPr>
        <w:t>3.10 Temperature Pathlines</w:t>
      </w:r>
    </w:p>
    <w:p>
      <w:pPr>
        <w:spacing w:before="40" w:after="20"/>
        <w:jc w:val="center"/>
      </w:pPr>
      <w:r>
        <w:drawing>
          <wp:inline xmlns:a="http://schemas.openxmlformats.org/drawingml/2006/main" xmlns:pic="http://schemas.openxmlformats.org/drawingml/2006/picture">
            <wp:extent cx="5486400" cy="2494205"/>
            <wp:docPr id="13" name="Picture 13"/>
            <wp:cNvGraphicFramePr>
              <a:graphicFrameLocks noChangeAspect="1"/>
            </wp:cNvGraphicFramePr>
            <a:graphic>
              <a:graphicData uri="http://schemas.openxmlformats.org/drawingml/2006/picture">
                <pic:pic>
                  <pic:nvPicPr>
                    <pic:cNvPr id="0" name="image19.png"/>
                    <pic:cNvPicPr/>
                  </pic:nvPicPr>
                  <pic:blipFill>
                    <a:blip r:embed="rId21"/>
                    <a:stretch>
                      <a:fillRect/>
                    </a:stretch>
                  </pic:blipFill>
                  <pic:spPr>
                    <a:xfrm>
                      <a:off x="0" y="0"/>
                      <a:ext cx="5486400" cy="2494205"/>
                    </a:xfrm>
                    <a:prstGeom prst="rect"/>
                  </pic:spPr>
                </pic:pic>
              </a:graphicData>
            </a:graphic>
          </wp:inline>
        </w:drawing>
      </w:r>
    </w:p>
    <w:p>
      <w:pPr>
        <w:spacing w:before="0" w:after="80"/>
        <w:jc w:val="center"/>
      </w:pPr>
      <w:r>
        <w:rPr>
          <w:rFonts w:ascii="Arial" w:hAnsi="Arial"/>
          <w:i/>
          <w:color w:val="000000"/>
          <w:sz w:val="17"/>
        </w:rPr>
        <w:t>Fig 3.10 — Pathlines colored by Static Temperature (3D view)</w:t>
      </w:r>
    </w:p>
    <w:p>
      <w:pPr>
        <w:pStyle w:val="Heading2"/>
        <w:spacing w:before="120" w:after="80"/>
      </w:pPr>
      <w:r>
        <w:rPr>
          <w:rFonts w:ascii="Arial" w:hAnsi="Arial"/>
          <w:color w:val="000000"/>
        </w:rPr>
        <w:t>3.11 Turbulent Kinetic Energy</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4933"/>
          </w:tcPr>
          <w:p>
            <w:pPr>
              <w:jc w:val="center"/>
            </w:pPr>
            <w:r>
              <w:drawing>
                <wp:inline xmlns:a="http://schemas.openxmlformats.org/drawingml/2006/main" xmlns:pic="http://schemas.openxmlformats.org/drawingml/2006/picture">
                  <wp:extent cx="2651760" cy="1205532"/>
                  <wp:docPr id="14" name="Picture 14"/>
                  <wp:cNvGraphicFramePr>
                    <a:graphicFrameLocks noChangeAspect="1"/>
                  </wp:cNvGraphicFramePr>
                  <a:graphic>
                    <a:graphicData uri="http://schemas.openxmlformats.org/drawingml/2006/picture">
                      <pic:pic>
                        <pic:nvPicPr>
                          <pic:cNvPr id="0" name="image11.png"/>
                          <pic:cNvPicPr/>
                        </pic:nvPicPr>
                        <pic:blipFill>
                          <a:blip r:embed="rId22"/>
                          <a:stretch>
                            <a:fillRect/>
                          </a:stretch>
                        </pic:blipFill>
                        <pic:spPr>
                          <a:xfrm>
                            <a:off x="0" y="0"/>
                            <a:ext cx="2651760" cy="1205532"/>
                          </a:xfrm>
                          <a:prstGeom prst="rect"/>
                        </pic:spPr>
                      </pic:pic>
                    </a:graphicData>
                  </a:graphic>
                </wp:inline>
              </w:drawing>
            </w:r>
          </w:p>
        </w:tc>
        <w:tc>
          <w:tcPr>
            <w:tcW w:type="dxa" w:w="4933"/>
          </w:tcPr>
          <w:p>
            <w:pPr>
              <w:jc w:val="center"/>
            </w:pPr>
            <w:r>
              <w:drawing>
                <wp:inline xmlns:a="http://schemas.openxmlformats.org/drawingml/2006/main" xmlns:pic="http://schemas.openxmlformats.org/drawingml/2006/picture">
                  <wp:extent cx="2651760" cy="1205532"/>
                  <wp:docPr id="15" name="Picture 15"/>
                  <wp:cNvGraphicFramePr>
                    <a:graphicFrameLocks noChangeAspect="1"/>
                  </wp:cNvGraphicFramePr>
                  <a:graphic>
                    <a:graphicData uri="http://schemas.openxmlformats.org/drawingml/2006/picture">
                      <pic:pic>
                        <pic:nvPicPr>
                          <pic:cNvPr id="0" name="image12.png"/>
                          <pic:cNvPicPr/>
                        </pic:nvPicPr>
                        <pic:blipFill>
                          <a:blip r:embed="rId23"/>
                          <a:stretch>
                            <a:fillRect/>
                          </a:stretch>
                        </pic:blipFill>
                        <pic:spPr>
                          <a:xfrm>
                            <a:off x="0" y="0"/>
                            <a:ext cx="2651760" cy="1205532"/>
                          </a:xfrm>
                          <a:prstGeom prst="rect"/>
                        </pic:spPr>
                      </pic:pic>
                    </a:graphicData>
                  </a:graphic>
                </wp:inline>
              </w:drawing>
            </w:r>
          </w:p>
        </w:tc>
      </w:tr>
      <w:tr>
        <w:tc>
          <w:tcPr>
            <w:tcW w:type="dxa" w:w="4933"/>
          </w:tcPr>
          <w:p>
            <w:pPr>
              <w:jc w:val="center"/>
            </w:pPr>
            <w:r>
              <w:rPr>
                <w:rFonts w:ascii="Arial" w:hAnsi="Arial"/>
                <w:i/>
                <w:sz w:val="16"/>
              </w:rPr>
              <w:t>Fig 3.11a — TKE contour (center plane)</w:t>
            </w:r>
          </w:p>
        </w:tc>
        <w:tc>
          <w:tcPr>
            <w:tcW w:type="dxa" w:w="4933"/>
          </w:tcPr>
          <w:p>
            <w:pPr>
              <w:jc w:val="center"/>
            </w:pPr>
            <w:r>
              <w:rPr>
                <w:rFonts w:ascii="Arial" w:hAnsi="Arial"/>
                <w:i/>
                <w:sz w:val="16"/>
              </w:rPr>
              <w:t>Fig 3.11b — TKE contour (cross-section)</w:t>
            </w:r>
          </w:p>
        </w:tc>
      </w:tr>
    </w:tbl>
    <w:p>
      <w:pPr>
        <w:spacing w:before="0" w:after="40"/>
      </w:pPr>
      <w:r>
        <w:rPr>
          <w:rFonts w:ascii="Arial" w:hAnsi="Arial"/>
          <w:b w:val="0"/>
          <w:color w:val="000000"/>
          <w:sz w:val="20"/>
        </w:rPr>
      </w:r>
    </w:p>
    <w:p>
      <w:pPr>
        <w:pStyle w:val="Heading2"/>
        <w:spacing w:before="120" w:after="80"/>
      </w:pPr>
      <w:r>
        <w:rPr>
          <w:rFonts w:ascii="Arial" w:hAnsi="Arial"/>
          <w:color w:val="000000"/>
        </w:rPr>
        <w:t>3.12 Species (H₂O) Distribution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4933"/>
          </w:tcPr>
          <w:p>
            <w:pPr>
              <w:jc w:val="center"/>
            </w:pPr>
            <w:r>
              <w:drawing>
                <wp:inline xmlns:a="http://schemas.openxmlformats.org/drawingml/2006/main" xmlns:pic="http://schemas.openxmlformats.org/drawingml/2006/picture">
                  <wp:extent cx="2651760" cy="1205532"/>
                  <wp:docPr id="16" name="Picture 16"/>
                  <wp:cNvGraphicFramePr>
                    <a:graphicFrameLocks noChangeAspect="1"/>
                  </wp:cNvGraphicFramePr>
                  <a:graphic>
                    <a:graphicData uri="http://schemas.openxmlformats.org/drawingml/2006/picture">
                      <pic:pic>
                        <pic:nvPicPr>
                          <pic:cNvPr id="0" name="image5.png"/>
                          <pic:cNvPicPr/>
                        </pic:nvPicPr>
                        <pic:blipFill>
                          <a:blip r:embed="rId24"/>
                          <a:stretch>
                            <a:fillRect/>
                          </a:stretch>
                        </pic:blipFill>
                        <pic:spPr>
                          <a:xfrm>
                            <a:off x="0" y="0"/>
                            <a:ext cx="2651760" cy="1205532"/>
                          </a:xfrm>
                          <a:prstGeom prst="rect"/>
                        </pic:spPr>
                      </pic:pic>
                    </a:graphicData>
                  </a:graphic>
                </wp:inline>
              </w:drawing>
            </w:r>
          </w:p>
        </w:tc>
        <w:tc>
          <w:tcPr>
            <w:tcW w:type="dxa" w:w="4933"/>
          </w:tcPr>
          <w:p>
            <w:pPr>
              <w:jc w:val="center"/>
            </w:pPr>
            <w:r>
              <w:drawing>
                <wp:inline xmlns:a="http://schemas.openxmlformats.org/drawingml/2006/main" xmlns:pic="http://schemas.openxmlformats.org/drawingml/2006/picture">
                  <wp:extent cx="2651760" cy="1205532"/>
                  <wp:docPr id="17" name="Picture 17"/>
                  <wp:cNvGraphicFramePr>
                    <a:graphicFrameLocks noChangeAspect="1"/>
                  </wp:cNvGraphicFramePr>
                  <a:graphic>
                    <a:graphicData uri="http://schemas.openxmlformats.org/drawingml/2006/picture">
                      <pic:pic>
                        <pic:nvPicPr>
                          <pic:cNvPr id="0" name="image6.png"/>
                          <pic:cNvPicPr/>
                        </pic:nvPicPr>
                        <pic:blipFill>
                          <a:blip r:embed="rId25"/>
                          <a:stretch>
                            <a:fillRect/>
                          </a:stretch>
                        </pic:blipFill>
                        <pic:spPr>
                          <a:xfrm>
                            <a:off x="0" y="0"/>
                            <a:ext cx="2651760" cy="1205532"/>
                          </a:xfrm>
                          <a:prstGeom prst="rect"/>
                        </pic:spPr>
                      </pic:pic>
                    </a:graphicData>
                  </a:graphic>
                </wp:inline>
              </w:drawing>
            </w:r>
          </w:p>
        </w:tc>
      </w:tr>
      <w:tr>
        <w:tc>
          <w:tcPr>
            <w:tcW w:type="dxa" w:w="4933"/>
          </w:tcPr>
          <w:p>
            <w:pPr>
              <w:jc w:val="center"/>
            </w:pPr>
            <w:r>
              <w:rPr>
                <w:rFonts w:ascii="Arial" w:hAnsi="Arial"/>
                <w:i/>
                <w:sz w:val="16"/>
              </w:rPr>
              <w:t>Fig 3.12a — H₂O mass fraction (center plane)</w:t>
            </w:r>
          </w:p>
        </w:tc>
        <w:tc>
          <w:tcPr>
            <w:tcW w:type="dxa" w:w="4933"/>
          </w:tcPr>
          <w:p>
            <w:pPr>
              <w:jc w:val="center"/>
            </w:pPr>
            <w:r>
              <w:rPr>
                <w:rFonts w:ascii="Arial" w:hAnsi="Arial"/>
                <w:i/>
                <w:sz w:val="16"/>
              </w:rPr>
              <w:t>Fig 3.12b — H₂O mass fraction (cross-section)</w:t>
            </w:r>
          </w:p>
        </w:tc>
      </w:tr>
    </w:tbl>
    <w:p>
      <w:pPr>
        <w:spacing w:before="0" w:after="40"/>
      </w:pPr>
      <w:r>
        <w:rPr>
          <w:rFonts w:ascii="Arial" w:hAnsi="Arial"/>
          <w:b w:val="0"/>
          <w:color w:val="000000"/>
          <w:sz w:val="20"/>
        </w:rPr>
      </w:r>
    </w:p>
    <w:p>
      <w:pPr>
        <w:pStyle w:val="Heading2"/>
        <w:spacing w:before="120" w:after="80"/>
      </w:pPr>
      <w:r>
        <w:rPr>
          <w:rFonts w:ascii="Arial" w:hAnsi="Arial"/>
          <w:color w:val="000000"/>
        </w:rPr>
        <w:t>3.13 Outlet H₂O vs. Time</w:t>
      </w:r>
    </w:p>
    <w:p>
      <w:pPr>
        <w:spacing w:before="40" w:after="20"/>
        <w:jc w:val="center"/>
      </w:pPr>
      <w:r>
        <w:drawing>
          <wp:inline xmlns:a="http://schemas.openxmlformats.org/drawingml/2006/main" xmlns:pic="http://schemas.openxmlformats.org/drawingml/2006/picture">
            <wp:extent cx="5486400" cy="2494205"/>
            <wp:docPr id="18" name="Picture 18"/>
            <wp:cNvGraphicFramePr>
              <a:graphicFrameLocks noChangeAspect="1"/>
            </wp:cNvGraphicFramePr>
            <a:graphic>
              <a:graphicData uri="http://schemas.openxmlformats.org/drawingml/2006/picture">
                <pic:pic>
                  <pic:nvPicPr>
                    <pic:cNvPr id="0" name="image2.png"/>
                    <pic:cNvPicPr/>
                  </pic:nvPicPr>
                  <pic:blipFill>
                    <a:blip r:embed="rId26"/>
                    <a:stretch>
                      <a:fillRect/>
                    </a:stretch>
                  </pic:blipFill>
                  <pic:spPr>
                    <a:xfrm>
                      <a:off x="0" y="0"/>
                      <a:ext cx="5486400" cy="2494205"/>
                    </a:xfrm>
                    <a:prstGeom prst="rect"/>
                  </pic:spPr>
                </pic:pic>
              </a:graphicData>
            </a:graphic>
          </wp:inline>
        </w:drawing>
      </w:r>
    </w:p>
    <w:p>
      <w:pPr>
        <w:spacing w:before="0" w:after="80"/>
        <w:jc w:val="center"/>
      </w:pPr>
      <w:r>
        <w:rPr>
          <w:rFonts w:ascii="Arial" w:hAnsi="Arial"/>
          <w:i/>
          <w:color w:val="000000"/>
          <w:sz w:val="17"/>
        </w:rPr>
        <w:t>Fig 3.13 — Outlet H₂O Mass Fraction (constant at 1.0)</w:t>
      </w:r>
    </w:p>
    <w:p>
      <w:pPr>
        <w:pStyle w:val="Heading2"/>
        <w:spacing w:before="120" w:after="80"/>
      </w:pPr>
      <w:r>
        <w:rPr>
          <w:rFonts w:ascii="Arial" w:hAnsi="Arial"/>
          <w:color w:val="000000"/>
        </w:rPr>
        <w:t>3.14 DPM Particle Tracks</w:t>
      </w:r>
    </w:p>
    <w:p>
      <w:pPr>
        <w:spacing w:before="0" w:after="60"/>
      </w:pPr>
      <w:r>
        <w:rPr>
          <w:rFonts w:ascii="Arial" w:hAnsi="Arial"/>
          <w:b w:val="0"/>
          <w:color w:val="000000"/>
          <w:sz w:val="20"/>
        </w:rPr>
        <w:t>In counter-current flow, the particle tracks are concentrated near the nozzle exit zone (bottom third of the pipe). The spray cannot penetrate far against the opposing steam flow, so most droplets remain clustered in a compact region near the injection point. This is in stark contrast to co-current flow where particles spread throughout the entire pipe length.</w:t>
      </w:r>
    </w:p>
    <w:p>
      <w:pPr>
        <w:spacing w:before="40" w:after="20"/>
        <w:jc w:val="center"/>
      </w:pPr>
      <w:r>
        <w:drawing>
          <wp:inline xmlns:a="http://schemas.openxmlformats.org/drawingml/2006/main" xmlns:pic="http://schemas.openxmlformats.org/drawingml/2006/picture">
            <wp:extent cx="5486400" cy="2494205"/>
            <wp:docPr id="19" name="Picture 19"/>
            <wp:cNvGraphicFramePr>
              <a:graphicFrameLocks noChangeAspect="1"/>
            </wp:cNvGraphicFramePr>
            <a:graphic>
              <a:graphicData uri="http://schemas.openxmlformats.org/drawingml/2006/picture">
                <pic:pic>
                  <pic:nvPicPr>
                    <pic:cNvPr id="0" name="image1.png"/>
                    <pic:cNvPicPr/>
                  </pic:nvPicPr>
                  <pic:blipFill>
                    <a:blip r:embed="rId27"/>
                    <a:stretch>
                      <a:fillRect/>
                    </a:stretch>
                  </pic:blipFill>
                  <pic:spPr>
                    <a:xfrm>
                      <a:off x="0" y="0"/>
                      <a:ext cx="5486400" cy="2494205"/>
                    </a:xfrm>
                    <a:prstGeom prst="rect"/>
                  </pic:spPr>
                </pic:pic>
              </a:graphicData>
            </a:graphic>
          </wp:inline>
        </w:drawing>
      </w:r>
    </w:p>
    <w:p>
      <w:pPr>
        <w:spacing w:before="0" w:after="80"/>
        <w:jc w:val="center"/>
      </w:pPr>
      <w:r>
        <w:rPr>
          <w:rFonts w:ascii="Arial" w:hAnsi="Arial"/>
          <w:i/>
          <w:color w:val="000000"/>
          <w:sz w:val="17"/>
        </w:rPr>
        <w:t>Fig 3.14a — DPM particle tracks (wireframe view — spray concentrated at bottom)</w:t>
      </w:r>
    </w:p>
    <w:p>
      <w:pPr>
        <w:spacing w:before="40" w:after="20"/>
        <w:jc w:val="center"/>
      </w:pPr>
      <w:r>
        <w:drawing>
          <wp:inline xmlns:a="http://schemas.openxmlformats.org/drawingml/2006/main" xmlns:pic="http://schemas.openxmlformats.org/drawingml/2006/picture">
            <wp:extent cx="5486400" cy="2494205"/>
            <wp:docPr id="20" name="Picture 20"/>
            <wp:cNvGraphicFramePr>
              <a:graphicFrameLocks noChangeAspect="1"/>
            </wp:cNvGraphicFramePr>
            <a:graphic>
              <a:graphicData uri="http://schemas.openxmlformats.org/drawingml/2006/picture">
                <pic:pic>
                  <pic:nvPicPr>
                    <pic:cNvPr id="0" name="image16.png"/>
                    <pic:cNvPicPr/>
                  </pic:nvPicPr>
                  <pic:blipFill>
                    <a:blip r:embed="rId28"/>
                    <a:stretch>
                      <a:fillRect/>
                    </a:stretch>
                  </pic:blipFill>
                  <pic:spPr>
                    <a:xfrm>
                      <a:off x="0" y="0"/>
                      <a:ext cx="5486400" cy="2494205"/>
                    </a:xfrm>
                    <a:prstGeom prst="rect"/>
                  </pic:spPr>
                </pic:pic>
              </a:graphicData>
            </a:graphic>
          </wp:inline>
        </w:drawing>
      </w:r>
    </w:p>
    <w:p>
      <w:pPr>
        <w:spacing w:before="0" w:after="80"/>
        <w:jc w:val="center"/>
      </w:pPr>
      <w:r>
        <w:rPr>
          <w:rFonts w:ascii="Arial" w:hAnsi="Arial"/>
          <w:i/>
          <w:color w:val="000000"/>
          <w:sz w:val="17"/>
        </w:rPr>
        <w:t>Fig 3.14b — Particle tracks colored by Diameter (0–0.101 mm, clustered near nozzle)</w:t>
      </w:r>
    </w:p>
    <w:p>
      <w:pPr>
        <w:spacing w:before="40" w:after="20"/>
        <w:jc w:val="center"/>
      </w:pPr>
      <w:r>
        <w:drawing>
          <wp:inline xmlns:a="http://schemas.openxmlformats.org/drawingml/2006/main" xmlns:pic="http://schemas.openxmlformats.org/drawingml/2006/picture">
            <wp:extent cx="5486400" cy="2494205"/>
            <wp:docPr id="21" name="Picture 21"/>
            <wp:cNvGraphicFramePr>
              <a:graphicFrameLocks noChangeAspect="1"/>
            </wp:cNvGraphicFramePr>
            <a:graphic>
              <a:graphicData uri="http://schemas.openxmlformats.org/drawingml/2006/picture">
                <pic:pic>
                  <pic:nvPicPr>
                    <pic:cNvPr id="0" name="image17.png"/>
                    <pic:cNvPicPr/>
                  </pic:nvPicPr>
                  <pic:blipFill>
                    <a:blip r:embed="rId29"/>
                    <a:stretch>
                      <a:fillRect/>
                    </a:stretch>
                  </pic:blipFill>
                  <pic:spPr>
                    <a:xfrm>
                      <a:off x="0" y="0"/>
                      <a:ext cx="5486400" cy="2494205"/>
                    </a:xfrm>
                    <a:prstGeom prst="rect"/>
                  </pic:spPr>
                </pic:pic>
              </a:graphicData>
            </a:graphic>
          </wp:inline>
        </w:drawing>
      </w:r>
    </w:p>
    <w:p>
      <w:pPr>
        <w:spacing w:before="0" w:after="80"/>
        <w:jc w:val="center"/>
      </w:pPr>
      <w:r>
        <w:rPr>
          <w:rFonts w:ascii="Arial" w:hAnsi="Arial"/>
          <w:i/>
          <w:color w:val="000000"/>
          <w:sz w:val="17"/>
        </w:rPr>
        <w:t>Fig 3.14c — Particle tracks colored by Temperature</w:t>
      </w:r>
    </w:p>
    <w:p>
      <w:pPr>
        <w:spacing w:before="40" w:after="20"/>
        <w:jc w:val="center"/>
      </w:pPr>
      <w:r>
        <w:drawing>
          <wp:inline xmlns:a="http://schemas.openxmlformats.org/drawingml/2006/main" xmlns:pic="http://schemas.openxmlformats.org/drawingml/2006/picture">
            <wp:extent cx="5486400" cy="2494205"/>
            <wp:docPr id="22" name="Picture 22"/>
            <wp:cNvGraphicFramePr>
              <a:graphicFrameLocks noChangeAspect="1"/>
            </wp:cNvGraphicFramePr>
            <a:graphic>
              <a:graphicData uri="http://schemas.openxmlformats.org/drawingml/2006/picture">
                <pic:pic>
                  <pic:nvPicPr>
                    <pic:cNvPr id="0" name="image18.png"/>
                    <pic:cNvPicPr/>
                  </pic:nvPicPr>
                  <pic:blipFill>
                    <a:blip r:embed="rId30"/>
                    <a:stretch>
                      <a:fillRect/>
                    </a:stretch>
                  </pic:blipFill>
                  <pic:spPr>
                    <a:xfrm>
                      <a:off x="0" y="0"/>
                      <a:ext cx="5486400" cy="2494205"/>
                    </a:xfrm>
                    <a:prstGeom prst="rect"/>
                  </pic:spPr>
                </pic:pic>
              </a:graphicData>
            </a:graphic>
          </wp:inline>
        </w:drawing>
      </w:r>
    </w:p>
    <w:p>
      <w:pPr>
        <w:spacing w:before="0" w:after="80"/>
        <w:jc w:val="center"/>
      </w:pPr>
      <w:r>
        <w:rPr>
          <w:rFonts w:ascii="Arial" w:hAnsi="Arial"/>
          <w:i/>
          <w:color w:val="000000"/>
          <w:sz w:val="17"/>
        </w:rPr>
        <w:t>Fig 3.14d — Particle tracks colored by Velocity Magnitude</w:t>
      </w:r>
    </w:p>
    <w:p>
      <w:r>
        <w:br w:type="page"/>
      </w:r>
    </w:p>
    <w:p>
      <w:pPr>
        <w:pStyle w:val="Heading1"/>
        <w:spacing w:before="160" w:after="80"/>
      </w:pPr>
      <w:r>
        <w:rPr>
          <w:rFonts w:ascii="Arial" w:hAnsi="Arial"/>
          <w:color w:val="000000"/>
        </w:rPr>
        <w:t>4. Results Summary — Counter-Current Flow</w:t>
      </w:r>
    </w:p>
    <w:tbl>
      <w:tblPr>
        <w:tblStyle w:val="TableGrid"/>
        <w:tblW w:type="auto" w:w="0"/>
        <w:jc w:val="center"/>
        <w:tblLook w:firstColumn="1" w:firstRow="1" w:lastColumn="0" w:lastRow="0" w:noHBand="0" w:noVBand="1" w:val="04A0"/>
      </w:tblPr>
      <w:tblGrid>
        <w:gridCol w:w="4933"/>
        <w:gridCol w:w="4933"/>
      </w:tblGrid>
      <w:tr>
        <w:tc>
          <w:tcPr>
            <w:tcW w:type="dxa" w:w="4933"/>
            <w:shd w:val="clear" w:color="auto" w:fill="D9D9D9"/>
          </w:tcPr>
          <w:p>
            <w:pPr>
              <w:spacing w:before="40" w:after="40"/>
              <w:jc w:val="center"/>
            </w:pPr>
            <w:r>
              <w:rPr>
                <w:rFonts w:ascii="Arial" w:hAnsi="Arial"/>
                <w:b/>
                <w:color w:val="000000"/>
                <w:sz w:val="18"/>
              </w:rPr>
              <w:t>Parameter</w:t>
            </w:r>
          </w:p>
        </w:tc>
        <w:tc>
          <w:tcPr>
            <w:tcW w:type="dxa" w:w="4933"/>
            <w:shd w:val="clear" w:color="auto" w:fill="D9D9D9"/>
          </w:tcPr>
          <w:p>
            <w:pPr>
              <w:spacing w:before="40" w:after="40"/>
              <w:jc w:val="center"/>
            </w:pPr>
            <w:r>
              <w:rPr>
                <w:rFonts w:ascii="Arial" w:hAnsi="Arial"/>
                <w:b/>
                <w:color w:val="000000"/>
                <w:sz w:val="18"/>
              </w:rPr>
              <w:t>Value</w:t>
            </w:r>
          </w:p>
        </w:tc>
      </w:tr>
      <w:tr>
        <w:tc>
          <w:tcPr>
            <w:tcW w:type="dxa" w:w="4933"/>
          </w:tcPr>
          <w:p>
            <w:pPr>
              <w:spacing w:before="20" w:after="20"/>
            </w:pPr>
            <w:r>
              <w:rPr>
                <w:rFonts w:ascii="Arial" w:hAnsi="Arial"/>
                <w:color w:val="000000"/>
                <w:sz w:val="18"/>
              </w:rPr>
              <w:t>Steam Inlet Temperature</w:t>
            </w:r>
          </w:p>
        </w:tc>
        <w:tc>
          <w:tcPr>
            <w:tcW w:type="dxa" w:w="4933"/>
          </w:tcPr>
          <w:p>
            <w:pPr>
              <w:spacing w:before="20" w:after="20"/>
            </w:pPr>
            <w:r>
              <w:rPr>
                <w:rFonts w:ascii="Arial" w:hAnsi="Arial"/>
                <w:color w:val="000000"/>
                <w:sz w:val="18"/>
              </w:rPr>
              <w:t>523 K (250°C)</w:t>
            </w:r>
          </w:p>
        </w:tc>
      </w:tr>
      <w:tr>
        <w:tc>
          <w:tcPr>
            <w:tcW w:type="dxa" w:w="4933"/>
          </w:tcPr>
          <w:p>
            <w:pPr>
              <w:spacing w:before="20" w:after="20"/>
            </w:pPr>
            <w:r>
              <w:rPr>
                <w:rFonts w:ascii="Arial" w:hAnsi="Arial"/>
                <w:color w:val="000000"/>
                <w:sz w:val="18"/>
              </w:rPr>
              <w:t>Outlet Temperature (steady state)</w:t>
            </w:r>
          </w:p>
        </w:tc>
        <w:tc>
          <w:tcPr>
            <w:tcW w:type="dxa" w:w="4933"/>
          </w:tcPr>
          <w:p>
            <w:pPr>
              <w:spacing w:before="20" w:after="20"/>
            </w:pPr>
            <w:r>
              <w:rPr>
                <w:rFonts w:ascii="Arial" w:hAnsi="Arial"/>
                <w:color w:val="000000"/>
                <w:sz w:val="18"/>
              </w:rPr>
              <w:t>~508–510 K (235–237°C)</w:t>
            </w:r>
          </w:p>
        </w:tc>
      </w:tr>
      <w:tr>
        <w:tc>
          <w:tcPr>
            <w:tcW w:type="dxa" w:w="4933"/>
          </w:tcPr>
          <w:p>
            <w:pPr>
              <w:spacing w:before="20" w:after="20"/>
            </w:pPr>
            <w:r>
              <w:rPr>
                <w:rFonts w:ascii="Arial" w:hAnsi="Arial"/>
                <w:color w:val="000000"/>
                <w:sz w:val="18"/>
              </w:rPr>
              <w:t>Temperature Reduction</w:t>
            </w:r>
          </w:p>
        </w:tc>
        <w:tc>
          <w:tcPr>
            <w:tcW w:type="dxa" w:w="4933"/>
          </w:tcPr>
          <w:p>
            <w:pPr>
              <w:spacing w:before="20" w:after="20"/>
            </w:pPr>
            <w:r>
              <w:rPr>
                <w:rFonts w:ascii="Arial" w:hAnsi="Arial"/>
                <w:color w:val="000000"/>
                <w:sz w:val="18"/>
              </w:rPr>
              <w:t>~13–15 K</w:t>
            </w:r>
          </w:p>
        </w:tc>
      </w:tr>
      <w:tr>
        <w:tc>
          <w:tcPr>
            <w:tcW w:type="dxa" w:w="4933"/>
          </w:tcPr>
          <w:p>
            <w:pPr>
              <w:spacing w:before="20" w:after="20"/>
            </w:pPr>
            <w:r>
              <w:rPr>
                <w:rFonts w:ascii="Arial" w:hAnsi="Arial"/>
                <w:color w:val="000000"/>
                <w:sz w:val="18"/>
              </w:rPr>
              <w:t>Steam Inlet Velocity</w:t>
            </w:r>
          </w:p>
        </w:tc>
        <w:tc>
          <w:tcPr>
            <w:tcW w:type="dxa" w:w="4933"/>
          </w:tcPr>
          <w:p>
            <w:pPr>
              <w:spacing w:before="20" w:after="20"/>
            </w:pPr>
            <w:r>
              <w:rPr>
                <w:rFonts w:ascii="Arial" w:hAnsi="Arial"/>
                <w:color w:val="000000"/>
                <w:sz w:val="18"/>
              </w:rPr>
              <w:t>30 m/s (–Y direction, top to bottom)</w:t>
            </w:r>
          </w:p>
        </w:tc>
      </w:tr>
      <w:tr>
        <w:tc>
          <w:tcPr>
            <w:tcW w:type="dxa" w:w="4933"/>
          </w:tcPr>
          <w:p>
            <w:pPr>
              <w:spacing w:before="20" w:after="20"/>
            </w:pPr>
            <w:r>
              <w:rPr>
                <w:rFonts w:ascii="Arial" w:hAnsi="Arial"/>
                <w:color w:val="000000"/>
                <w:sz w:val="18"/>
              </w:rPr>
              <w:t>Outlet Velocity (steady state)</w:t>
            </w:r>
          </w:p>
        </w:tc>
        <w:tc>
          <w:tcPr>
            <w:tcW w:type="dxa" w:w="4933"/>
          </w:tcPr>
          <w:p>
            <w:pPr>
              <w:spacing w:before="20" w:after="20"/>
            </w:pPr>
            <w:r>
              <w:rPr>
                <w:rFonts w:ascii="Arial" w:hAnsi="Arial"/>
                <w:color w:val="000000"/>
                <w:sz w:val="18"/>
              </w:rPr>
              <w:t>~30 m/s</w:t>
            </w:r>
          </w:p>
        </w:tc>
      </w:tr>
      <w:tr>
        <w:tc>
          <w:tcPr>
            <w:tcW w:type="dxa" w:w="4933"/>
          </w:tcPr>
          <w:p>
            <w:pPr>
              <w:spacing w:before="20" w:after="20"/>
            </w:pPr>
            <w:r>
              <w:rPr>
                <w:rFonts w:ascii="Arial" w:hAnsi="Arial"/>
                <w:color w:val="000000"/>
                <w:sz w:val="18"/>
              </w:rPr>
              <w:t>Evaporation Rate (steady state)</w:t>
            </w:r>
          </w:p>
        </w:tc>
        <w:tc>
          <w:tcPr>
            <w:tcW w:type="dxa" w:w="4933"/>
          </w:tcPr>
          <w:p>
            <w:pPr>
              <w:spacing w:before="20" w:after="20"/>
            </w:pPr>
            <w:r>
              <w:rPr>
                <w:rFonts w:ascii="Arial" w:hAnsi="Arial"/>
                <w:color w:val="000000"/>
                <w:sz w:val="18"/>
              </w:rPr>
              <w:t>~0.0025 kg/s</w:t>
            </w:r>
          </w:p>
        </w:tc>
      </w:tr>
      <w:tr>
        <w:tc>
          <w:tcPr>
            <w:tcW w:type="dxa" w:w="4933"/>
          </w:tcPr>
          <w:p>
            <w:pPr>
              <w:spacing w:before="20" w:after="20"/>
            </w:pPr>
            <w:r>
              <w:rPr>
                <w:rFonts w:ascii="Arial" w:hAnsi="Arial"/>
                <w:color w:val="000000"/>
                <w:sz w:val="18"/>
              </w:rPr>
              <w:t>Water Injection Rate</w:t>
            </w:r>
          </w:p>
        </w:tc>
        <w:tc>
          <w:tcPr>
            <w:tcW w:type="dxa" w:w="4933"/>
          </w:tcPr>
          <w:p>
            <w:pPr>
              <w:spacing w:before="20" w:after="20"/>
            </w:pPr>
            <w:r>
              <w:rPr>
                <w:rFonts w:ascii="Arial" w:hAnsi="Arial"/>
                <w:color w:val="000000"/>
                <w:sz w:val="18"/>
              </w:rPr>
              <w:t>0.1045 kg/s</w:t>
            </w:r>
          </w:p>
        </w:tc>
      </w:tr>
      <w:tr>
        <w:tc>
          <w:tcPr>
            <w:tcW w:type="dxa" w:w="4933"/>
          </w:tcPr>
          <w:p>
            <w:pPr>
              <w:spacing w:before="20" w:after="20"/>
            </w:pPr>
            <w:r>
              <w:rPr>
                <w:rFonts w:ascii="Arial" w:hAnsi="Arial"/>
                <w:color w:val="000000"/>
                <w:sz w:val="18"/>
              </w:rPr>
              <w:t>Evaporation Efficiency</w:t>
            </w:r>
          </w:p>
        </w:tc>
        <w:tc>
          <w:tcPr>
            <w:tcW w:type="dxa" w:w="4933"/>
          </w:tcPr>
          <w:p>
            <w:pPr>
              <w:spacing w:before="20" w:after="20"/>
            </w:pPr>
            <w:r>
              <w:rPr>
                <w:rFonts w:ascii="Arial" w:hAnsi="Arial"/>
                <w:color w:val="000000"/>
                <w:sz w:val="18"/>
              </w:rPr>
              <w:t>~2.4% of injected water evaporated</w:t>
            </w:r>
          </w:p>
        </w:tc>
      </w:tr>
      <w:tr>
        <w:tc>
          <w:tcPr>
            <w:tcW w:type="dxa" w:w="4933"/>
          </w:tcPr>
          <w:p>
            <w:pPr>
              <w:spacing w:before="20" w:after="20"/>
            </w:pPr>
            <w:r>
              <w:rPr>
                <w:rFonts w:ascii="Arial" w:hAnsi="Arial"/>
                <w:color w:val="000000"/>
                <w:sz w:val="18"/>
              </w:rPr>
              <w:t>Pressure Drop (steady state)</w:t>
            </w:r>
          </w:p>
        </w:tc>
        <w:tc>
          <w:tcPr>
            <w:tcW w:type="dxa" w:w="4933"/>
          </w:tcPr>
          <w:p>
            <w:pPr>
              <w:spacing w:before="20" w:after="20"/>
            </w:pPr>
            <w:r>
              <w:rPr>
                <w:rFonts w:ascii="Arial" w:hAnsi="Arial"/>
                <w:color w:val="000000"/>
                <w:sz w:val="18"/>
              </w:rPr>
              <w:t>~0 Pa (after initial transient)</w:t>
            </w:r>
          </w:p>
        </w:tc>
      </w:tr>
      <w:tr>
        <w:tc>
          <w:tcPr>
            <w:tcW w:type="dxa" w:w="4933"/>
          </w:tcPr>
          <w:p>
            <w:pPr>
              <w:spacing w:before="20" w:after="20"/>
            </w:pPr>
            <w:r>
              <w:rPr>
                <w:rFonts w:ascii="Arial" w:hAnsi="Arial"/>
                <w:color w:val="000000"/>
                <w:sz w:val="18"/>
              </w:rPr>
              <w:t>Min Temperature in Spray Zone</w:t>
            </w:r>
          </w:p>
        </w:tc>
        <w:tc>
          <w:tcPr>
            <w:tcW w:type="dxa" w:w="4933"/>
          </w:tcPr>
          <w:p>
            <w:pPr>
              <w:spacing w:before="20" w:after="20"/>
            </w:pPr>
            <w:r>
              <w:rPr>
                <w:rFonts w:ascii="Arial" w:hAnsi="Arial"/>
                <w:color w:val="000000"/>
                <w:sz w:val="18"/>
              </w:rPr>
              <w:t>~364 K</w:t>
            </w:r>
          </w:p>
        </w:tc>
      </w:tr>
      <w:tr>
        <w:tc>
          <w:tcPr>
            <w:tcW w:type="dxa" w:w="4933"/>
          </w:tcPr>
          <w:p>
            <w:pPr>
              <w:spacing w:before="20" w:after="20"/>
            </w:pPr>
            <w:r>
              <w:rPr>
                <w:rFonts w:ascii="Arial" w:hAnsi="Arial"/>
                <w:color w:val="000000"/>
                <w:sz w:val="18"/>
              </w:rPr>
              <w:t>Operating Pressure</w:t>
            </w:r>
          </w:p>
        </w:tc>
        <w:tc>
          <w:tcPr>
            <w:tcW w:type="dxa" w:w="4933"/>
          </w:tcPr>
          <w:p>
            <w:pPr>
              <w:spacing w:before="20" w:after="20"/>
            </w:pPr>
            <w:r>
              <w:rPr>
                <w:rFonts w:ascii="Arial" w:hAnsi="Arial"/>
                <w:color w:val="000000"/>
                <w:sz w:val="18"/>
              </w:rPr>
              <w:t>1,000,000 Pa (10 bar)</w:t>
            </w:r>
          </w:p>
        </w:tc>
      </w:tr>
      <w:tr>
        <w:tc>
          <w:tcPr>
            <w:tcW w:type="dxa" w:w="4933"/>
          </w:tcPr>
          <w:p>
            <w:pPr>
              <w:spacing w:before="20" w:after="20"/>
            </w:pPr>
            <w:r>
              <w:rPr>
                <w:rFonts w:ascii="Arial" w:hAnsi="Arial"/>
                <w:color w:val="000000"/>
                <w:sz w:val="18"/>
              </w:rPr>
              <w:t>Simulation Time</w:t>
            </w:r>
          </w:p>
        </w:tc>
        <w:tc>
          <w:tcPr>
            <w:tcW w:type="dxa" w:w="4933"/>
          </w:tcPr>
          <w:p>
            <w:pPr>
              <w:spacing w:before="20" w:after="20"/>
            </w:pPr>
            <w:r>
              <w:rPr>
                <w:rFonts w:ascii="Arial" w:hAnsi="Arial"/>
                <w:color w:val="000000"/>
                <w:sz w:val="18"/>
              </w:rPr>
              <w:t>0.5 s (2,500 time steps × 0.0002 s)</w:t>
            </w:r>
          </w:p>
        </w:tc>
      </w:tr>
    </w:tbl>
    <w:p>
      <w:pPr>
        <w:spacing w:before="0" w:after="40"/>
      </w:pPr>
      <w:r>
        <w:rPr>
          <w:rFonts w:ascii="Arial" w:hAnsi="Arial"/>
          <w:b w:val="0"/>
          <w:color w:val="000000"/>
          <w:sz w:val="20"/>
        </w:rPr>
      </w:r>
    </w:p>
    <w:p>
      <w:pPr>
        <w:pStyle w:val="Heading1"/>
        <w:spacing w:before="160" w:after="80"/>
      </w:pPr>
      <w:r>
        <w:rPr>
          <w:rFonts w:ascii="Arial" w:hAnsi="Arial"/>
          <w:color w:val="000000"/>
        </w:rPr>
        <w:t>5. Comparison: Co-Current vs. Counter-Current</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val="clear" w:color="auto" w:fill="D9D9D9"/>
          </w:tcPr>
          <w:p>
            <w:pPr>
              <w:spacing w:before="40" w:after="40"/>
              <w:jc w:val="center"/>
            </w:pPr>
            <w:r>
              <w:rPr>
                <w:rFonts w:ascii="Arial" w:hAnsi="Arial"/>
                <w:b/>
                <w:color w:val="000000"/>
                <w:sz w:val="18"/>
              </w:rPr>
              <w:t>Parameter</w:t>
            </w:r>
          </w:p>
        </w:tc>
        <w:tc>
          <w:tcPr>
            <w:tcW w:type="dxa" w:w="3289"/>
            <w:shd w:val="clear" w:color="auto" w:fill="D9D9D9"/>
          </w:tcPr>
          <w:p>
            <w:pPr>
              <w:spacing w:before="40" w:after="40"/>
              <w:jc w:val="center"/>
            </w:pPr>
            <w:r>
              <w:rPr>
                <w:rFonts w:ascii="Arial" w:hAnsi="Arial"/>
                <w:b/>
                <w:color w:val="000000"/>
                <w:sz w:val="18"/>
              </w:rPr>
              <w:t>Co-Current</w:t>
            </w:r>
          </w:p>
        </w:tc>
        <w:tc>
          <w:tcPr>
            <w:tcW w:type="dxa" w:w="3289"/>
            <w:shd w:val="clear" w:color="auto" w:fill="D9D9D9"/>
          </w:tcPr>
          <w:p>
            <w:pPr>
              <w:spacing w:before="40" w:after="40"/>
              <w:jc w:val="center"/>
            </w:pPr>
            <w:r>
              <w:rPr>
                <w:rFonts w:ascii="Arial" w:hAnsi="Arial"/>
                <w:b/>
                <w:color w:val="000000"/>
                <w:sz w:val="18"/>
              </w:rPr>
              <w:t>Counter-Current</w:t>
            </w:r>
          </w:p>
        </w:tc>
      </w:tr>
      <w:tr>
        <w:tc>
          <w:tcPr>
            <w:tcW w:type="dxa" w:w="3289"/>
          </w:tcPr>
          <w:p>
            <w:pPr>
              <w:spacing w:before="20" w:after="20"/>
            </w:pPr>
            <w:r>
              <w:rPr>
                <w:rFonts w:ascii="Arial" w:hAnsi="Arial"/>
                <w:color w:val="000000"/>
                <w:sz w:val="18"/>
              </w:rPr>
              <w:t>Steam Flow Direction</w:t>
            </w:r>
          </w:p>
        </w:tc>
        <w:tc>
          <w:tcPr>
            <w:tcW w:type="dxa" w:w="3289"/>
          </w:tcPr>
          <w:p>
            <w:pPr>
              <w:spacing w:before="20" w:after="20"/>
            </w:pPr>
            <w:r>
              <w:rPr>
                <w:rFonts w:ascii="Arial" w:hAnsi="Arial"/>
                <w:color w:val="000000"/>
                <w:sz w:val="18"/>
              </w:rPr>
              <w:t>–Y to +Y (bottom to top)</w:t>
            </w:r>
          </w:p>
        </w:tc>
        <w:tc>
          <w:tcPr>
            <w:tcW w:type="dxa" w:w="3289"/>
          </w:tcPr>
          <w:p>
            <w:pPr>
              <w:spacing w:before="20" w:after="20"/>
            </w:pPr>
            <w:r>
              <w:rPr>
                <w:rFonts w:ascii="Arial" w:hAnsi="Arial"/>
                <w:color w:val="000000"/>
                <w:sz w:val="18"/>
              </w:rPr>
              <w:t>+Y to –Y (top to bottom)</w:t>
            </w:r>
          </w:p>
        </w:tc>
      </w:tr>
      <w:tr>
        <w:tc>
          <w:tcPr>
            <w:tcW w:type="dxa" w:w="3289"/>
          </w:tcPr>
          <w:p>
            <w:pPr>
              <w:spacing w:before="20" w:after="20"/>
            </w:pPr>
            <w:r>
              <w:rPr>
                <w:rFonts w:ascii="Arial" w:hAnsi="Arial"/>
                <w:color w:val="000000"/>
                <w:sz w:val="18"/>
              </w:rPr>
              <w:t>Spray Direction</w:t>
            </w:r>
          </w:p>
        </w:tc>
        <w:tc>
          <w:tcPr>
            <w:tcW w:type="dxa" w:w="3289"/>
          </w:tcPr>
          <w:p>
            <w:pPr>
              <w:spacing w:before="20" w:after="20"/>
            </w:pPr>
            <w:r>
              <w:rPr>
                <w:rFonts w:ascii="Arial" w:hAnsi="Arial"/>
                <w:color w:val="000000"/>
                <w:sz w:val="18"/>
              </w:rPr>
              <w:t>+Y (same as steam)</w:t>
            </w:r>
          </w:p>
        </w:tc>
        <w:tc>
          <w:tcPr>
            <w:tcW w:type="dxa" w:w="3289"/>
          </w:tcPr>
          <w:p>
            <w:pPr>
              <w:spacing w:before="20" w:after="20"/>
            </w:pPr>
            <w:r>
              <w:rPr>
                <w:rFonts w:ascii="Arial" w:hAnsi="Arial"/>
                <w:color w:val="000000"/>
                <w:sz w:val="18"/>
              </w:rPr>
              <w:t>+Y (opposing steam)</w:t>
            </w:r>
          </w:p>
        </w:tc>
      </w:tr>
      <w:tr>
        <w:tc>
          <w:tcPr>
            <w:tcW w:type="dxa" w:w="3289"/>
          </w:tcPr>
          <w:p>
            <w:pPr>
              <w:spacing w:before="20" w:after="20"/>
            </w:pPr>
            <w:r>
              <w:rPr>
                <w:rFonts w:ascii="Arial" w:hAnsi="Arial"/>
                <w:color w:val="000000"/>
                <w:sz w:val="18"/>
              </w:rPr>
              <w:t>Outlet Temperature</w:t>
            </w:r>
          </w:p>
        </w:tc>
        <w:tc>
          <w:tcPr>
            <w:tcW w:type="dxa" w:w="3289"/>
          </w:tcPr>
          <w:p>
            <w:pPr>
              <w:spacing w:before="20" w:after="20"/>
            </w:pPr>
            <w:r>
              <w:rPr>
                <w:rFonts w:ascii="Arial" w:hAnsi="Arial"/>
                <w:color w:val="000000"/>
                <w:sz w:val="18"/>
              </w:rPr>
              <w:t>~508 K</w:t>
            </w:r>
          </w:p>
        </w:tc>
        <w:tc>
          <w:tcPr>
            <w:tcW w:type="dxa" w:w="3289"/>
          </w:tcPr>
          <w:p>
            <w:pPr>
              <w:spacing w:before="20" w:after="20"/>
            </w:pPr>
            <w:r>
              <w:rPr>
                <w:rFonts w:ascii="Arial" w:hAnsi="Arial"/>
                <w:color w:val="000000"/>
                <w:sz w:val="18"/>
              </w:rPr>
              <w:t>~508–510 K</w:t>
            </w:r>
          </w:p>
        </w:tc>
      </w:tr>
      <w:tr>
        <w:tc>
          <w:tcPr>
            <w:tcW w:type="dxa" w:w="3289"/>
          </w:tcPr>
          <w:p>
            <w:pPr>
              <w:spacing w:before="20" w:after="20"/>
            </w:pPr>
            <w:r>
              <w:rPr>
                <w:rFonts w:ascii="Arial" w:hAnsi="Arial"/>
                <w:color w:val="000000"/>
                <w:sz w:val="18"/>
              </w:rPr>
              <w:t>Temperature Reduction</w:t>
            </w:r>
          </w:p>
        </w:tc>
        <w:tc>
          <w:tcPr>
            <w:tcW w:type="dxa" w:w="3289"/>
          </w:tcPr>
          <w:p>
            <w:pPr>
              <w:spacing w:before="20" w:after="20"/>
            </w:pPr>
            <w:r>
              <w:rPr>
                <w:rFonts w:ascii="Arial" w:hAnsi="Arial"/>
                <w:color w:val="000000"/>
                <w:sz w:val="18"/>
              </w:rPr>
              <w:t>~15 K</w:t>
            </w:r>
          </w:p>
        </w:tc>
        <w:tc>
          <w:tcPr>
            <w:tcW w:type="dxa" w:w="3289"/>
          </w:tcPr>
          <w:p>
            <w:pPr>
              <w:spacing w:before="20" w:after="20"/>
            </w:pPr>
            <w:r>
              <w:rPr>
                <w:rFonts w:ascii="Arial" w:hAnsi="Arial"/>
                <w:color w:val="000000"/>
                <w:sz w:val="18"/>
              </w:rPr>
              <w:t>~13–15 K</w:t>
            </w:r>
          </w:p>
        </w:tc>
      </w:tr>
      <w:tr>
        <w:tc>
          <w:tcPr>
            <w:tcW w:type="dxa" w:w="3289"/>
          </w:tcPr>
          <w:p>
            <w:pPr>
              <w:spacing w:before="20" w:after="20"/>
            </w:pPr>
            <w:r>
              <w:rPr>
                <w:rFonts w:ascii="Arial" w:hAnsi="Arial"/>
                <w:color w:val="000000"/>
                <w:sz w:val="18"/>
              </w:rPr>
              <w:t>Evaporation Rate</w:t>
            </w:r>
          </w:p>
        </w:tc>
        <w:tc>
          <w:tcPr>
            <w:tcW w:type="dxa" w:w="3289"/>
          </w:tcPr>
          <w:p>
            <w:pPr>
              <w:spacing w:before="20" w:after="20"/>
            </w:pPr>
            <w:r>
              <w:rPr>
                <w:rFonts w:ascii="Arial" w:hAnsi="Arial"/>
                <w:color w:val="000000"/>
                <w:sz w:val="18"/>
              </w:rPr>
              <w:t>~0.0088 kg/s</w:t>
            </w:r>
          </w:p>
        </w:tc>
        <w:tc>
          <w:tcPr>
            <w:tcW w:type="dxa" w:w="3289"/>
          </w:tcPr>
          <w:p>
            <w:pPr>
              <w:spacing w:before="20" w:after="20"/>
            </w:pPr>
            <w:r>
              <w:rPr>
                <w:rFonts w:ascii="Arial" w:hAnsi="Arial"/>
                <w:color w:val="000000"/>
                <w:sz w:val="18"/>
              </w:rPr>
              <w:t>~0.0025 kg/s</w:t>
            </w:r>
          </w:p>
        </w:tc>
      </w:tr>
      <w:tr>
        <w:tc>
          <w:tcPr>
            <w:tcW w:type="dxa" w:w="3289"/>
          </w:tcPr>
          <w:p>
            <w:pPr>
              <w:spacing w:before="20" w:after="20"/>
            </w:pPr>
            <w:r>
              <w:rPr>
                <w:rFonts w:ascii="Arial" w:hAnsi="Arial"/>
                <w:color w:val="000000"/>
                <w:sz w:val="18"/>
              </w:rPr>
              <w:t>Evaporation Efficiency</w:t>
            </w:r>
          </w:p>
        </w:tc>
        <w:tc>
          <w:tcPr>
            <w:tcW w:type="dxa" w:w="3289"/>
          </w:tcPr>
          <w:p>
            <w:pPr>
              <w:spacing w:before="20" w:after="20"/>
            </w:pPr>
            <w:r>
              <w:rPr>
                <w:rFonts w:ascii="Arial" w:hAnsi="Arial"/>
                <w:color w:val="000000"/>
                <w:sz w:val="18"/>
              </w:rPr>
              <w:t>~8.4%</w:t>
            </w:r>
          </w:p>
        </w:tc>
        <w:tc>
          <w:tcPr>
            <w:tcW w:type="dxa" w:w="3289"/>
          </w:tcPr>
          <w:p>
            <w:pPr>
              <w:spacing w:before="20" w:after="20"/>
            </w:pPr>
            <w:r>
              <w:rPr>
                <w:rFonts w:ascii="Arial" w:hAnsi="Arial"/>
                <w:color w:val="000000"/>
                <w:sz w:val="18"/>
              </w:rPr>
              <w:t>~2.4%</w:t>
            </w:r>
          </w:p>
        </w:tc>
      </w:tr>
      <w:tr>
        <w:tc>
          <w:tcPr>
            <w:tcW w:type="dxa" w:w="3289"/>
          </w:tcPr>
          <w:p>
            <w:pPr>
              <w:spacing w:before="20" w:after="20"/>
            </w:pPr>
            <w:r>
              <w:rPr>
                <w:rFonts w:ascii="Arial" w:hAnsi="Arial"/>
                <w:color w:val="000000"/>
                <w:sz w:val="18"/>
              </w:rPr>
              <w:t>Spray Penetration</w:t>
            </w:r>
          </w:p>
        </w:tc>
        <w:tc>
          <w:tcPr>
            <w:tcW w:type="dxa" w:w="3289"/>
          </w:tcPr>
          <w:p>
            <w:pPr>
              <w:spacing w:before="20" w:after="20"/>
            </w:pPr>
            <w:r>
              <w:rPr>
                <w:rFonts w:ascii="Arial" w:hAnsi="Arial"/>
                <w:color w:val="000000"/>
                <w:sz w:val="18"/>
              </w:rPr>
              <w:t>Full pipe length</w:t>
            </w:r>
          </w:p>
        </w:tc>
        <w:tc>
          <w:tcPr>
            <w:tcW w:type="dxa" w:w="3289"/>
          </w:tcPr>
          <w:p>
            <w:pPr>
              <w:spacing w:before="20" w:after="20"/>
            </w:pPr>
            <w:r>
              <w:rPr>
                <w:rFonts w:ascii="Arial" w:hAnsi="Arial"/>
                <w:color w:val="000000"/>
                <w:sz w:val="18"/>
              </w:rPr>
              <w:t>Bottom ~1/3 of pipe only</w:t>
            </w:r>
          </w:p>
        </w:tc>
      </w:tr>
      <w:tr>
        <w:tc>
          <w:tcPr>
            <w:tcW w:type="dxa" w:w="3289"/>
          </w:tcPr>
          <w:p>
            <w:pPr>
              <w:spacing w:before="20" w:after="20"/>
            </w:pPr>
            <w:r>
              <w:rPr>
                <w:rFonts w:ascii="Arial" w:hAnsi="Arial"/>
                <w:color w:val="000000"/>
                <w:sz w:val="18"/>
              </w:rPr>
              <w:t>Pressure Drop</w:t>
            </w:r>
          </w:p>
        </w:tc>
        <w:tc>
          <w:tcPr>
            <w:tcW w:type="dxa" w:w="3289"/>
          </w:tcPr>
          <w:p>
            <w:pPr>
              <w:spacing w:before="20" w:after="20"/>
            </w:pPr>
            <w:r>
              <w:rPr>
                <w:rFonts w:ascii="Arial" w:hAnsi="Arial"/>
                <w:color w:val="000000"/>
                <w:sz w:val="18"/>
              </w:rPr>
              <w:t>1,200–2,600 Pa (stable)</w:t>
            </w:r>
          </w:p>
        </w:tc>
        <w:tc>
          <w:tcPr>
            <w:tcW w:type="dxa" w:w="3289"/>
          </w:tcPr>
          <w:p>
            <w:pPr>
              <w:spacing w:before="20" w:after="20"/>
            </w:pPr>
            <w:r>
              <w:rPr>
                <w:rFonts w:ascii="Arial" w:hAnsi="Arial"/>
                <w:color w:val="000000"/>
                <w:sz w:val="18"/>
              </w:rPr>
              <w:t>±80,000 Pa initial, settles ~0 Pa</w:t>
            </w:r>
          </w:p>
        </w:tc>
      </w:tr>
      <w:tr>
        <w:tc>
          <w:tcPr>
            <w:tcW w:type="dxa" w:w="3289"/>
          </w:tcPr>
          <w:p>
            <w:pPr>
              <w:spacing w:before="20" w:after="20"/>
            </w:pPr>
            <w:r>
              <w:rPr>
                <w:rFonts w:ascii="Arial" w:hAnsi="Arial"/>
                <w:color w:val="000000"/>
                <w:sz w:val="18"/>
              </w:rPr>
              <w:t>Outlet Velocity Stability</w:t>
            </w:r>
          </w:p>
        </w:tc>
        <w:tc>
          <w:tcPr>
            <w:tcW w:type="dxa" w:w="3289"/>
          </w:tcPr>
          <w:p>
            <w:pPr>
              <w:spacing w:before="20" w:after="20"/>
            </w:pPr>
            <w:r>
              <w:rPr>
                <w:rFonts w:ascii="Arial" w:hAnsi="Arial"/>
                <w:color w:val="000000"/>
                <w:sz w:val="18"/>
              </w:rPr>
              <w:t>Stable (~29 m/s)</w:t>
            </w:r>
          </w:p>
        </w:tc>
        <w:tc>
          <w:tcPr>
            <w:tcW w:type="dxa" w:w="3289"/>
          </w:tcPr>
          <w:p>
            <w:pPr>
              <w:spacing w:before="20" w:after="20"/>
            </w:pPr>
            <w:r>
              <w:rPr>
                <w:rFonts w:ascii="Arial" w:hAnsi="Arial"/>
                <w:color w:val="000000"/>
                <w:sz w:val="18"/>
              </w:rPr>
              <w:t>Large initial oscillations, settles ~30 m/s</w:t>
            </w:r>
          </w:p>
        </w:tc>
      </w:tr>
      <w:tr>
        <w:tc>
          <w:tcPr>
            <w:tcW w:type="dxa" w:w="3289"/>
          </w:tcPr>
          <w:p>
            <w:pPr>
              <w:spacing w:before="20" w:after="20"/>
            </w:pPr>
            <w:r>
              <w:rPr>
                <w:rFonts w:ascii="Arial" w:hAnsi="Arial"/>
                <w:color w:val="000000"/>
                <w:sz w:val="18"/>
              </w:rPr>
              <w:t>Convergence Speed</w:t>
            </w:r>
          </w:p>
        </w:tc>
        <w:tc>
          <w:tcPr>
            <w:tcW w:type="dxa" w:w="3289"/>
          </w:tcPr>
          <w:p>
            <w:pPr>
              <w:spacing w:before="20" w:after="20"/>
            </w:pPr>
            <w:r>
              <w:rPr>
                <w:rFonts w:ascii="Arial" w:hAnsi="Arial"/>
                <w:color w:val="000000"/>
                <w:sz w:val="18"/>
              </w:rPr>
              <w:t>Fast (∼0.03 s)</w:t>
            </w:r>
          </w:p>
        </w:tc>
        <w:tc>
          <w:tcPr>
            <w:tcW w:type="dxa" w:w="3289"/>
          </w:tcPr>
          <w:p>
            <w:pPr>
              <w:spacing w:before="20" w:after="20"/>
            </w:pPr>
            <w:r>
              <w:rPr>
                <w:rFonts w:ascii="Arial" w:hAnsi="Arial"/>
                <w:color w:val="000000"/>
                <w:sz w:val="18"/>
              </w:rPr>
              <w:t>Slow (∼0.3 s)</w:t>
            </w:r>
          </w:p>
        </w:tc>
      </w:tr>
      <w:tr>
        <w:tc>
          <w:tcPr>
            <w:tcW w:type="dxa" w:w="3289"/>
          </w:tcPr>
          <w:p>
            <w:pPr>
              <w:spacing w:before="20" w:after="20"/>
            </w:pPr>
            <w:r>
              <w:rPr>
                <w:rFonts w:ascii="Arial" w:hAnsi="Arial"/>
                <w:color w:val="000000"/>
                <w:sz w:val="18"/>
              </w:rPr>
              <w:t>Min Temp in Spray Zone</w:t>
            </w:r>
          </w:p>
        </w:tc>
        <w:tc>
          <w:tcPr>
            <w:tcW w:type="dxa" w:w="3289"/>
          </w:tcPr>
          <w:p>
            <w:pPr>
              <w:spacing w:before="20" w:after="20"/>
            </w:pPr>
            <w:r>
              <w:rPr>
                <w:rFonts w:ascii="Arial" w:hAnsi="Arial"/>
                <w:color w:val="000000"/>
                <w:sz w:val="18"/>
              </w:rPr>
              <w:t>434 K</w:t>
            </w:r>
          </w:p>
        </w:tc>
        <w:tc>
          <w:tcPr>
            <w:tcW w:type="dxa" w:w="3289"/>
          </w:tcPr>
          <w:p>
            <w:pPr>
              <w:spacing w:before="20" w:after="20"/>
            </w:pPr>
            <w:r>
              <w:rPr>
                <w:rFonts w:ascii="Arial" w:hAnsi="Arial"/>
                <w:color w:val="000000"/>
                <w:sz w:val="18"/>
              </w:rPr>
              <w:t>364 K</w:t>
            </w:r>
          </w:p>
        </w:tc>
      </w:tr>
    </w:tbl>
    <w:p>
      <w:pPr>
        <w:spacing w:before="0" w:after="40"/>
      </w:pPr>
      <w:r>
        <w:rPr>
          <w:rFonts w:ascii="Arial" w:hAnsi="Arial"/>
          <w:b w:val="0"/>
          <w:color w:val="000000"/>
          <w:sz w:val="20"/>
        </w:rPr>
      </w:r>
    </w:p>
    <w:p>
      <w:pPr>
        <w:pStyle w:val="Heading1"/>
        <w:spacing w:before="160" w:after="80"/>
      </w:pPr>
      <w:r>
        <w:rPr>
          <w:rFonts w:ascii="Arial" w:hAnsi="Arial"/>
          <w:color w:val="000000"/>
        </w:rPr>
        <w:t>6. Conclusions</w:t>
      </w:r>
    </w:p>
    <w:p>
      <w:pPr>
        <w:spacing w:before="0" w:after="60"/>
      </w:pPr>
      <w:r>
        <w:rPr>
          <w:rFonts w:ascii="Arial" w:hAnsi="Arial"/>
          <w:b w:val="0"/>
          <w:color w:val="000000"/>
          <w:sz w:val="20"/>
        </w:rPr>
        <w:t>1. The counter-current configuration produces a similar outlet temperature (~508–510 K) to the co-current case (~508 K), but achieves this through a fundamentally different mechanism. Counter-current flow creates intense local cooling near the nozzle (down to 364 K) but limited penetration, while co-current flow distributes cooling over the full pipe length.</w:t>
      </w:r>
    </w:p>
    <w:p>
      <w:pPr>
        <w:spacing w:before="0" w:after="60"/>
      </w:pPr>
      <w:r>
        <w:rPr>
          <w:rFonts w:ascii="Arial" w:hAnsi="Arial"/>
          <w:b w:val="0"/>
          <w:color w:val="000000"/>
          <w:sz w:val="20"/>
        </w:rPr>
        <w:t>2. The evaporation rate in counter-current flow (0.0025 kg/s) is approximately 3.5 times lower than in co-current flow (0.0088 kg/s). The opposing steam flow reduces droplet residence time in the hot zone and causes many droplets to be swept out of the pipe before fully evaporating.</w:t>
      </w:r>
    </w:p>
    <w:p>
      <w:pPr>
        <w:spacing w:before="0" w:after="60"/>
      </w:pPr>
      <w:r>
        <w:rPr>
          <w:rFonts w:ascii="Arial" w:hAnsi="Arial"/>
          <w:b w:val="0"/>
          <w:color w:val="000000"/>
          <w:sz w:val="20"/>
        </w:rPr>
        <w:t>3. Counter-current flow exhibits significantly more initial instability, with pressure oscillations of ±80,000 Pa and velocity oscillations of 0–100 m/s during the first 0.1–0.3 s. This reflects the strong momentum exchange when the spray and steam collide head-on.</w:t>
      </w:r>
    </w:p>
    <w:p>
      <w:pPr>
        <w:spacing w:before="0" w:after="60"/>
      </w:pPr>
      <w:r>
        <w:rPr>
          <w:rFonts w:ascii="Arial" w:hAnsi="Arial"/>
          <w:b w:val="0"/>
          <w:color w:val="000000"/>
          <w:sz w:val="20"/>
        </w:rPr>
        <w:t>4. The spray penetration in counter-current flow is limited to approximately the bottom third of the pipe, compared to the full pipe length in co-current flow. This concentrated spray zone creates more intense but spatially limited cooling.</w:t>
      </w:r>
    </w:p>
    <w:p>
      <w:pPr>
        <w:spacing w:before="0" w:after="60"/>
      </w:pPr>
      <w:r>
        <w:rPr>
          <w:rFonts w:ascii="Arial" w:hAnsi="Arial"/>
          <w:b w:val="0"/>
          <w:color w:val="000000"/>
          <w:sz w:val="20"/>
        </w:rPr>
        <w:t>5. For this desuperheater geometry and operating conditions, the co-current configuration is more effective for temperature reduction because it provides higher evaporation rates (3.5×), better spray distribution, and more stable flow conditions.</w:t>
      </w:r>
    </w:p>
    <w:p>
      <w:pPr>
        <w:spacing w:before="0" w:after="80"/>
      </w:pPr>
      <w:r>
        <w:rPr>
          <w:rFonts w:ascii="Arial" w:hAnsi="Arial"/>
          <w:b w:val="0"/>
          <w:color w:val="000000"/>
          <w:sz w:val="20"/>
        </w:rPr>
        <w:t>6. The counter-current configuration may be advantageous in applications requiring intense local cooling or where the spray needs to be contained within a specific zone, but it is less efficient for overall temperature reduction of the steam.</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