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D6EC1" w14:textId="77777777" w:rsidR="00240C40" w:rsidRDefault="00000000">
      <w:pPr>
        <w:spacing w:before="240" w:after="240" w:line="480" w:lineRule="auto"/>
        <w:jc w:val="center"/>
      </w:pPr>
      <w:r>
        <w:rPr>
          <w:rFonts w:ascii="Times New Roman" w:eastAsia="Times New Roman" w:hAnsi="Times New Roman"/>
          <w:b/>
          <w:color w:val="000000"/>
          <w:sz w:val="24"/>
        </w:rPr>
        <w:t>Abstract</w:t>
      </w:r>
    </w:p>
    <w:p w14:paraId="6A4ED580" w14:textId="77777777" w:rsidR="00240C40" w:rsidRDefault="00000000">
      <w:pPr>
        <w:spacing w:after="240" w:line="480" w:lineRule="auto"/>
        <w:jc w:val="both"/>
      </w:pPr>
      <w:r>
        <w:rPr>
          <w:rFonts w:ascii="Times New Roman" w:eastAsia="Times New Roman" w:hAnsi="Times New Roman"/>
          <w:color w:val="000000"/>
          <w:sz w:val="24"/>
        </w:rPr>
        <w:t xml:space="preserve">Private academies that still rely on paper files, spreadsheets, and informal messaging often face fragmented student records, delayed reporting, weak parent communication, and limited financial transparency. This monograph presents the design and implementation of the Nokta Academy Management System (NAMS), an integrated web and mobile-oriented platform developed to centralize academic, administrative, and financial operations for Nokta Academy and similar private learning centers. The study used an applied mixed-methods approach: a structured questionnaire completed by 20 academies informed feature priorities, while workflow and role analysis guided functional and non-functional requirements. Development followed Agile Scrum within a documented software life-cycle, delivered in three reviewed prototypes. Prototype 1 provided the core baseline for authentication, student and teacher management, classes and subjects, manual attendance, examinations and results, fee collection, and baseline payroll, without AI exam generation, online meeting attendance automation, or full government tax packaging. Prototype 2 added AI-assisted question generation, online class meeting links, and automatic parental attendance visibility after 18 of the 20 academies requested these features; two newly opened academies offered no specific opinion. Prototype 3 introduced quarterly and annual government tax reporting at Nokta Academy’s request. System design used layered architecture with Node.js/Express, MongoDB, and React, supported by use-case, sequence, and entity-relationship models and verified through unit, integration, and user-acceptance testing. Results indicate strong adoption intent and clear demand for integrated fee, attendance, examination, parent-communication, and tax-reporting capabilities. The project concludes that an iteratively delivered, academy-specific management system can reduce manual </w:t>
      </w:r>
      <w:r>
        <w:rPr>
          <w:rFonts w:ascii="Times New Roman" w:eastAsia="Times New Roman" w:hAnsi="Times New Roman"/>
          <w:color w:val="000000"/>
          <w:sz w:val="24"/>
        </w:rPr>
        <w:lastRenderedPageBreak/>
        <w:t>workload, improve information quality, and support compliance-oriented financial reporting within the stated scope and sample limitations.</w:t>
      </w:r>
    </w:p>
    <w:p w14:paraId="6D618536" w14:textId="77777777" w:rsidR="00240C40" w:rsidRDefault="00000000" w:rsidP="0077629B">
      <w:pPr>
        <w:spacing w:before="120" w:line="480" w:lineRule="auto"/>
      </w:pPr>
      <w:r>
        <w:rPr>
          <w:rFonts w:ascii="Times New Roman" w:eastAsia="Times New Roman" w:hAnsi="Times New Roman"/>
          <w:i/>
          <w:color w:val="000000"/>
          <w:sz w:val="24"/>
        </w:rPr>
        <w:t xml:space="preserve">Keywords: </w:t>
      </w:r>
      <w:r>
        <w:rPr>
          <w:rFonts w:ascii="Times New Roman" w:eastAsia="Times New Roman" w:hAnsi="Times New Roman"/>
          <w:color w:val="000000"/>
          <w:sz w:val="24"/>
        </w:rPr>
        <w:t>academy management system, Agile Scrum, educational information systems, learning analytics readiness, private academy digitization</w:t>
      </w:r>
    </w:p>
    <w:sectPr w:rsidR="00240C4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1677024">
    <w:abstractNumId w:val="8"/>
  </w:num>
  <w:num w:numId="2" w16cid:durableId="1717974444">
    <w:abstractNumId w:val="6"/>
  </w:num>
  <w:num w:numId="3" w16cid:durableId="1170870938">
    <w:abstractNumId w:val="5"/>
  </w:num>
  <w:num w:numId="4" w16cid:durableId="1384796623">
    <w:abstractNumId w:val="4"/>
  </w:num>
  <w:num w:numId="5" w16cid:durableId="719741345">
    <w:abstractNumId w:val="7"/>
  </w:num>
  <w:num w:numId="6" w16cid:durableId="862671249">
    <w:abstractNumId w:val="3"/>
  </w:num>
  <w:num w:numId="7" w16cid:durableId="184489781">
    <w:abstractNumId w:val="2"/>
  </w:num>
  <w:num w:numId="8" w16cid:durableId="1800033649">
    <w:abstractNumId w:val="1"/>
  </w:num>
  <w:num w:numId="9" w16cid:durableId="1333989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0C40"/>
    <w:rsid w:val="0029639D"/>
    <w:rsid w:val="00326F90"/>
    <w:rsid w:val="0077629B"/>
    <w:rsid w:val="00836E28"/>
    <w:rsid w:val="00A04BF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3A3827"/>
  <w14:defaultImageDpi w14:val="300"/>
  <w15:docId w15:val="{E2CF4605-9440-4668-9DDC-628F6E60F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330</Words>
  <Characters>1882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Maihan</cp:lastModifiedBy>
  <cp:revision>2</cp:revision>
  <dcterms:created xsi:type="dcterms:W3CDTF">2013-12-23T23:15:00Z</dcterms:created>
  <dcterms:modified xsi:type="dcterms:W3CDTF">2026-07-17T22:49:00Z</dcterms:modified>
  <cp:category/>
</cp:coreProperties>
</file>