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D1A8" w14:textId="77777777" w:rsidR="00503A72" w:rsidRDefault="00000000">
      <w:pPr>
        <w:spacing w:after="240" w:line="480" w:lineRule="auto"/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t>References</w:t>
      </w:r>
    </w:p>
    <w:p w14:paraId="09EECF37" w14:textId="77777777" w:rsidR="00503A72" w:rsidRDefault="00000000">
      <w:pPr>
        <w:spacing w:before="120" w:after="360" w:line="480" w:lineRule="auto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References</w:t>
      </w:r>
    </w:p>
    <w:p w14:paraId="29902D39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Al-Emran, M., Mezhuyev, V., &amp; Kamaludin, A. (2018). Technology Acceptance Model in M-learning context: A systematic review. Computers &amp; Education, 125, 389–412. https://doi.org/10.1016/j.compedu.2018.06.008</w:t>
      </w:r>
    </w:p>
    <w:p w14:paraId="1B23BF0C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Al-Maroof, R. S., Salloum, S. A., Hassanien, A. E., &amp; Shaalan, K. (2021). Fear from COVID-19 and technology adoption: The impact of Google Meet during Coronavirus pandemic. Interactive Learning Environments. Advance online publication. https://doi.org/10.1080/10494820.2020.1830121</w:t>
      </w:r>
    </w:p>
    <w:p w14:paraId="4564F2F2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Al-Rahmi, W. M., Yahaya, N., Alamri, M. M., Alyoussef, I. Y., Al-Rahmi, A. M., &amp; Kamin, Y. B. (2021). Integrating innovation diffusion theory with technology acceptance model: Supporting students’ attitude towards using a massive open online courses (MOOCs) system. Interactive Learning Environments, 29(8), 1380–1392. https://doi.org/10.1080/10494820.2019.1629599</w:t>
      </w:r>
    </w:p>
    <w:p w14:paraId="4CC9019C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Aldowah, H., Al-Samarraie, H., &amp; Fauzy, W. M. (2019). Educational data mining and learning analytics for 21st century higher education: A review and synthesis. Telematics and Informatics, 37, 13–49. https://doi.org/10.1016/j.tele.2019.01.007</w:t>
      </w:r>
    </w:p>
    <w:p w14:paraId="564F9364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American Psychological Association. (2020). Publication manual of the American Psychological Association (7th ed.). American Psychological Association. https://doi.org/10.1037/0000165-000</w:t>
      </w:r>
    </w:p>
    <w:p w14:paraId="45D63560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 xml:space="preserve">Basheer, S., AlLuhaidan, A. S., &amp; Mathew, R. M. (2021). A secured smart automation system for computer labs in engineering colleges using the internet of things. Computer </w:t>
      </w:r>
      <w:r>
        <w:rPr>
          <w:rFonts w:ascii="Times New Roman" w:eastAsia="Times New Roman" w:hAnsi="Times New Roman"/>
          <w:color w:val="000000"/>
          <w:sz w:val="24"/>
        </w:rPr>
        <w:lastRenderedPageBreak/>
        <w:t>Applications in Engineering Education, 29(2), 339–349. https://doi.org/10.1002/cae.22223</w:t>
      </w:r>
    </w:p>
    <w:p w14:paraId="45CA79BE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Bass, L., Clements, P., &amp; Kazman, R. (2012). Software architecture in practice (3rd ed.). Addison-Wesley.</w:t>
      </w:r>
    </w:p>
    <w:p w14:paraId="03AD4E03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Brooke, J. (1996). SUS: A quick and dirty usability scale. In P. W. Jordan, B. Thomas, B. A. Weerdmeester, &amp; I. L. McClelland (Eds.), Usability evaluation in industry (pp. 189–194). Taylor &amp; Francis.</w:t>
      </w:r>
    </w:p>
    <w:p w14:paraId="2A96705B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Chodorow, K. (2013). MongoDB: The definitive guide (2nd ed.). O’Reilly Media.</w:t>
      </w:r>
    </w:p>
    <w:p w14:paraId="68610D6D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Connolly, T. M., &amp; Begg, C. E. (2015). Database systems: A practical approach to design, implementation, and management (6th ed.). Pearson.</w:t>
      </w:r>
    </w:p>
    <w:p w14:paraId="6E4CFB8A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Costa, C., Teixeira, L., &amp; Alvelos, H. (2020). Exploring the usage of learning management systems in higher education: A systematic review. Education and Information Technologies. Advance online publication.</w:t>
      </w:r>
    </w:p>
    <w:p w14:paraId="1A5AE162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Creswell, J. W., &amp; Creswell, J. D. (2018). Research design: Qualitative, quantitative, and mixed methods approaches (5th ed.). SAGE Publications.</w:t>
      </w:r>
    </w:p>
    <w:p w14:paraId="2B853702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Davis, F. D. (1989). Perceived usefulness, perceived ease of use, and user acceptance of information technology. MIS Quarterly, 13(3), 319–340. https://doi.org/10.2307/249008</w:t>
      </w:r>
    </w:p>
    <w:p w14:paraId="309C095D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DeLone, W. H., &amp; McLean, E. R. (2003). The DeLone and McLean model of information systems success: A ten-year update. Journal of Management Information Systems, 19(4), 9–30. https://doi.org/10.1080/07421222.2003.11045748</w:t>
      </w:r>
    </w:p>
    <w:p w14:paraId="6D20131E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Dikert, K., Paasivaara, M., &amp; Lassenius, C. (2016). Challenges and success factors for large-scale agile transformations: A systematic literature review. Journal of Systems and Software, 119, 87–108. https://doi.org/10.1016/j.jss.2016.06.013</w:t>
      </w:r>
    </w:p>
    <w:p w14:paraId="028A5A0B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lastRenderedPageBreak/>
        <w:t>Fowler, M. (2004). UML distilled: A brief guide to the standard object modeling language (3rd ed.). Addison-Wesley.</w:t>
      </w:r>
    </w:p>
    <w:p w14:paraId="10ACFA17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Hevner, A. R., March, S. T., Park, J., &amp; Ram, S. (2004). Design science in information systems research. MIS Quarterly, 28(1), 75–105.</w:t>
      </w:r>
    </w:p>
    <w:p w14:paraId="570310A2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Ifenthaler, D., &amp; Yau, J. Y.-K. (2020). Utilising learning analytics to support study success in higher education: A systematic review. Educational Technology Research and Development, 68(4), 1961–1990. https://doi.org/10.1007/s11423-020-09788-z</w:t>
      </w:r>
    </w:p>
    <w:p w14:paraId="2BA20440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International Organization for Standardization, &amp; International Electrotechnical Commission. (2011). Systems and software engineering — Systems and software Quality Requirements and Evaluation (SQuaRE) — System and software quality models (ISO/IEC 25010:2011).</w:t>
      </w:r>
    </w:p>
    <w:p w14:paraId="0189C639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International Organization for Standardization, International Electrotechnical Commission, &amp; Institute of Electrical and Electronics Engineers. (2018). Systems and software engineering — Life cycle processes — Requirements engineering (ISO/IEC/IEEE 29148:2018).</w:t>
      </w:r>
    </w:p>
    <w:p w14:paraId="1D862A50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Kraus, S., Jones, P., Kailer, N., Weinmann, A., Chaparro-Banegas, N., &amp; Roig-Tierno, N. (2021). Digital transformation: An overview of the current state of the art of research. SAGE Open, 11(3), 1–19. https://doi.org/10.1177/21582440211047576</w:t>
      </w:r>
    </w:p>
    <w:p w14:paraId="3F11FBFB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Likert, R. (1932). A technique for the measurement of attitudes. Archives of Psychology, 22(140), 1–55.</w:t>
      </w:r>
    </w:p>
    <w:p w14:paraId="2FFCA503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Miles, M. B., Huberman, A. M., &amp; Saldaña, J. (2014). Qualitative data analysis: A methods sourcebook (3rd ed.). SAGE Publications.</w:t>
      </w:r>
    </w:p>
    <w:p w14:paraId="0A533790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Nielsen, J. (1994). Usability engineering. Morgan Kaufmann.</w:t>
      </w:r>
    </w:p>
    <w:p w14:paraId="35875020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lastRenderedPageBreak/>
        <w:t>Peffers, K., Tuunanen, T., Rothenberger, M. A., &amp; Chatterjee, S. (2007). A design science research methodology for information systems research. Journal of Management Information Systems, 24(3), 45–77. https://doi.org/10.2753/MIS0742-1222240302</w:t>
      </w:r>
    </w:p>
    <w:p w14:paraId="2319BA09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Pressman, R. S., &amp; Maxim, B. R. (2020). Software engineering: A practitioner’s approach (9th ed.). McGraw-Hill Education.</w:t>
      </w:r>
    </w:p>
    <w:p w14:paraId="2D02C004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Rahman, M. M., &amp; Saha, S. (2019). An integrated education management information system for private academic institutions. International Journal of Information Engineering and Electronic Business, 11(2), 1–10.</w:t>
      </w:r>
    </w:p>
    <w:p w14:paraId="5D8D1DA3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Romero, C., &amp; Ventura, S. (2020). Educational data mining and learning analytics: An updated survey. WIREs Data Mining and Knowledge Discovery, 10(3), e1355. https://doi.org/10.1002/widm.1355</w:t>
      </w:r>
    </w:p>
    <w:p w14:paraId="09B6DB4C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Schwaber, K., &amp; Sutherland, J. (2020). The Scrum guide: The definitive guide to Scrum: The rules of the game.</w:t>
      </w:r>
    </w:p>
    <w:p w14:paraId="4707A75C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Siemens, G. (2013). Learning analytics: The emergence of a discipline. American Behavioral Scientist, 57(10), 1380–1400. https://doi.org/10.1177/0002764213498851</w:t>
      </w:r>
    </w:p>
    <w:p w14:paraId="0BAC4978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Sommerville, I. (2016). Software engineering (10th ed.). Pearson.</w:t>
      </w:r>
    </w:p>
    <w:p w14:paraId="6B8B3A49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Tilkov, S., &amp; Vinoski, S. (2010). Node.js: Using JavaScript to build high-performance network programs. IEEE Internet Computing, 14(6), 80–83. https://doi.org/10.1109/MIC.2010.145</w:t>
      </w:r>
    </w:p>
    <w:p w14:paraId="5747FD7A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Traxler, J. (2018). Learning with mobiles in the digital age. Pedagogika, 68(3), 293–310.</w:t>
      </w:r>
    </w:p>
    <w:p w14:paraId="7FD40E01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t>Venkatesh, V., Morris, M. G., Davis, G. B., &amp; Davis, F. D. (2003). User acceptance of information technology: Toward a unified view. MIS Quarterly, 27(3), 425–478. https://doi.org/10.2307/30036540</w:t>
      </w:r>
    </w:p>
    <w:p w14:paraId="052A30A8" w14:textId="77777777" w:rsidR="00503A72" w:rsidRDefault="00000000">
      <w:pPr>
        <w:spacing w:after="0" w:line="480" w:lineRule="auto"/>
        <w:ind w:left="720" w:hanging="720"/>
      </w:pPr>
      <w:r>
        <w:rPr>
          <w:rFonts w:ascii="Times New Roman" w:eastAsia="Times New Roman" w:hAnsi="Times New Roman"/>
          <w:color w:val="000000"/>
          <w:sz w:val="24"/>
        </w:rPr>
        <w:lastRenderedPageBreak/>
        <w:t>Venkatesh, V., Thong, J. Y. L., &amp; Xu, X. (2012). Consumer acceptance and use of information technology: Extending the unified theory of acceptance and use of technology. MIS Quarterly, 36(1), 157–178. https://doi.org/10.2307/41410412</w:t>
      </w:r>
    </w:p>
    <w:p w14:paraId="3E994CE9" w14:textId="77777777" w:rsidR="00503A72" w:rsidRDefault="00000000">
      <w:r>
        <w:br w:type="page"/>
      </w:r>
    </w:p>
    <w:p w14:paraId="1A28631C" w14:textId="77777777" w:rsidR="00503A72" w:rsidRDefault="00000000">
      <w:pPr>
        <w:spacing w:after="240" w:line="480" w:lineRule="auto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In-Text Citations (Mendeley Author–Date Style)</w:t>
      </w:r>
    </w:p>
    <w:p w14:paraId="1A6EE232" w14:textId="77777777" w:rsidR="00503A72" w:rsidRDefault="00000000">
      <w:pPr>
        <w:spacing w:after="24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Use these parenthetical forms exactly as Mendeley Cite inserts them in Word (APA). Narrative form examples: Aldowah et al. (2019) reported that…; Creswell and Creswell (2018) argued that…</w:t>
      </w:r>
    </w:p>
    <w:p w14:paraId="2AE85468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Al-Emran et al., 2018: </w:t>
      </w:r>
      <w:r>
        <w:rPr>
          <w:rFonts w:ascii="Times New Roman" w:eastAsia="Times New Roman" w:hAnsi="Times New Roman"/>
          <w:color w:val="000000"/>
          <w:sz w:val="24"/>
        </w:rPr>
        <w:t>(Al-Emran et al., 2018)</w:t>
      </w:r>
    </w:p>
    <w:p w14:paraId="2DFAF51F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Al-Maroof et al., 2021: </w:t>
      </w:r>
      <w:r>
        <w:rPr>
          <w:rFonts w:ascii="Times New Roman" w:eastAsia="Times New Roman" w:hAnsi="Times New Roman"/>
          <w:color w:val="000000"/>
          <w:sz w:val="24"/>
        </w:rPr>
        <w:t>(Al-Maroof et al., 2021)</w:t>
      </w:r>
    </w:p>
    <w:p w14:paraId="0F9A69DA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Al-Rahmi et al., 2021: </w:t>
      </w:r>
      <w:r>
        <w:rPr>
          <w:rFonts w:ascii="Times New Roman" w:eastAsia="Times New Roman" w:hAnsi="Times New Roman"/>
          <w:color w:val="000000"/>
          <w:sz w:val="24"/>
        </w:rPr>
        <w:t>(Al-Rahmi et al., 2021)</w:t>
      </w:r>
    </w:p>
    <w:p w14:paraId="31DB7D87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Aldowah et al., 2019: </w:t>
      </w:r>
      <w:r>
        <w:rPr>
          <w:rFonts w:ascii="Times New Roman" w:eastAsia="Times New Roman" w:hAnsi="Times New Roman"/>
          <w:color w:val="000000"/>
          <w:sz w:val="24"/>
        </w:rPr>
        <w:t>(Aldowah et al., 2019)</w:t>
      </w:r>
    </w:p>
    <w:p w14:paraId="4C6B79C3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American Psychological Association, 2020: </w:t>
      </w:r>
      <w:r>
        <w:rPr>
          <w:rFonts w:ascii="Times New Roman" w:eastAsia="Times New Roman" w:hAnsi="Times New Roman"/>
          <w:color w:val="000000"/>
          <w:sz w:val="24"/>
        </w:rPr>
        <w:t>(American Psychological Association, 2020)</w:t>
      </w:r>
    </w:p>
    <w:p w14:paraId="522AFFE3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Bass et al., 2012: </w:t>
      </w:r>
      <w:r>
        <w:rPr>
          <w:rFonts w:ascii="Times New Roman" w:eastAsia="Times New Roman" w:hAnsi="Times New Roman"/>
          <w:color w:val="000000"/>
          <w:sz w:val="24"/>
        </w:rPr>
        <w:t>(Bass et al., 2012)</w:t>
      </w:r>
    </w:p>
    <w:p w14:paraId="56A77D55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Basheer et al., 2021: </w:t>
      </w:r>
      <w:r>
        <w:rPr>
          <w:rFonts w:ascii="Times New Roman" w:eastAsia="Times New Roman" w:hAnsi="Times New Roman"/>
          <w:color w:val="000000"/>
          <w:sz w:val="24"/>
        </w:rPr>
        <w:t>(Basheer et al., 2021)</w:t>
      </w:r>
    </w:p>
    <w:p w14:paraId="728005DC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Brooke, 1996: </w:t>
      </w:r>
      <w:r>
        <w:rPr>
          <w:rFonts w:ascii="Times New Roman" w:eastAsia="Times New Roman" w:hAnsi="Times New Roman"/>
          <w:color w:val="000000"/>
          <w:sz w:val="24"/>
        </w:rPr>
        <w:t>(Brooke, 1996)</w:t>
      </w:r>
    </w:p>
    <w:p w14:paraId="346DBCE9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Chodorow, 2013: </w:t>
      </w:r>
      <w:r>
        <w:rPr>
          <w:rFonts w:ascii="Times New Roman" w:eastAsia="Times New Roman" w:hAnsi="Times New Roman"/>
          <w:color w:val="000000"/>
          <w:sz w:val="24"/>
        </w:rPr>
        <w:t>(Chodorow, 2013)</w:t>
      </w:r>
    </w:p>
    <w:p w14:paraId="70F51760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Connolly &amp; Begg, 2015: </w:t>
      </w:r>
      <w:r>
        <w:rPr>
          <w:rFonts w:ascii="Times New Roman" w:eastAsia="Times New Roman" w:hAnsi="Times New Roman"/>
          <w:color w:val="000000"/>
          <w:sz w:val="24"/>
        </w:rPr>
        <w:t>(Connolly &amp; Begg, 2015)</w:t>
      </w:r>
    </w:p>
    <w:p w14:paraId="058EAAD3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Costa et al., 2020: </w:t>
      </w:r>
      <w:r>
        <w:rPr>
          <w:rFonts w:ascii="Times New Roman" w:eastAsia="Times New Roman" w:hAnsi="Times New Roman"/>
          <w:color w:val="000000"/>
          <w:sz w:val="24"/>
        </w:rPr>
        <w:t>(Costa et al., 2020)</w:t>
      </w:r>
    </w:p>
    <w:p w14:paraId="4D3C1853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Creswell &amp; Creswell, 2018: </w:t>
      </w:r>
      <w:r>
        <w:rPr>
          <w:rFonts w:ascii="Times New Roman" w:eastAsia="Times New Roman" w:hAnsi="Times New Roman"/>
          <w:color w:val="000000"/>
          <w:sz w:val="24"/>
        </w:rPr>
        <w:t>(Creswell &amp; Creswell, 2018)</w:t>
      </w:r>
    </w:p>
    <w:p w14:paraId="157E006C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Davis, 1989: </w:t>
      </w:r>
      <w:r>
        <w:rPr>
          <w:rFonts w:ascii="Times New Roman" w:eastAsia="Times New Roman" w:hAnsi="Times New Roman"/>
          <w:color w:val="000000"/>
          <w:sz w:val="24"/>
        </w:rPr>
        <w:t>(Davis, 1989)</w:t>
      </w:r>
    </w:p>
    <w:p w14:paraId="1DE2E1AA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DeLone &amp; McLean, 2003: </w:t>
      </w:r>
      <w:r>
        <w:rPr>
          <w:rFonts w:ascii="Times New Roman" w:eastAsia="Times New Roman" w:hAnsi="Times New Roman"/>
          <w:color w:val="000000"/>
          <w:sz w:val="24"/>
        </w:rPr>
        <w:t>(DeLone &amp; McLean, 2003)</w:t>
      </w:r>
    </w:p>
    <w:p w14:paraId="23F7F39A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Dikert et al., 2016: </w:t>
      </w:r>
      <w:r>
        <w:rPr>
          <w:rFonts w:ascii="Times New Roman" w:eastAsia="Times New Roman" w:hAnsi="Times New Roman"/>
          <w:color w:val="000000"/>
          <w:sz w:val="24"/>
        </w:rPr>
        <w:t>(Dikert et al., 2016)</w:t>
      </w:r>
    </w:p>
    <w:p w14:paraId="7A49214D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Fowler, 2004: </w:t>
      </w:r>
      <w:r>
        <w:rPr>
          <w:rFonts w:ascii="Times New Roman" w:eastAsia="Times New Roman" w:hAnsi="Times New Roman"/>
          <w:color w:val="000000"/>
          <w:sz w:val="24"/>
        </w:rPr>
        <w:t>(Fowler, 2004)</w:t>
      </w:r>
    </w:p>
    <w:p w14:paraId="628F7650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lastRenderedPageBreak/>
        <w:t xml:space="preserve">Hevner et al., 2004: </w:t>
      </w:r>
      <w:r>
        <w:rPr>
          <w:rFonts w:ascii="Times New Roman" w:eastAsia="Times New Roman" w:hAnsi="Times New Roman"/>
          <w:color w:val="000000"/>
          <w:sz w:val="24"/>
        </w:rPr>
        <w:t>(Hevner et al., 2004)</w:t>
      </w:r>
    </w:p>
    <w:p w14:paraId="34BAD845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Ifenthaler &amp; Yau, 2020: </w:t>
      </w:r>
      <w:r>
        <w:rPr>
          <w:rFonts w:ascii="Times New Roman" w:eastAsia="Times New Roman" w:hAnsi="Times New Roman"/>
          <w:color w:val="000000"/>
          <w:sz w:val="24"/>
        </w:rPr>
        <w:t>(Ifenthaler &amp; Yau, 2020)</w:t>
      </w:r>
    </w:p>
    <w:p w14:paraId="7F07968B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ISO/IEC 25010, 2011: </w:t>
      </w:r>
      <w:r>
        <w:rPr>
          <w:rFonts w:ascii="Times New Roman" w:eastAsia="Times New Roman" w:hAnsi="Times New Roman"/>
          <w:color w:val="000000"/>
          <w:sz w:val="24"/>
        </w:rPr>
        <w:t>(International Organization for Standardization &amp; International Electrotechnical Commission, 2011)</w:t>
      </w:r>
    </w:p>
    <w:p w14:paraId="61275DA3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ISO/IEC/IEEE 29148, 2018: </w:t>
      </w:r>
      <w:r>
        <w:rPr>
          <w:rFonts w:ascii="Times New Roman" w:eastAsia="Times New Roman" w:hAnsi="Times New Roman"/>
          <w:color w:val="000000"/>
          <w:sz w:val="24"/>
        </w:rPr>
        <w:t>(International Organization for Standardization et al., 2018)</w:t>
      </w:r>
    </w:p>
    <w:p w14:paraId="3E401BE5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Kraus et al., 2022: </w:t>
      </w:r>
      <w:r>
        <w:rPr>
          <w:rFonts w:ascii="Times New Roman" w:eastAsia="Times New Roman" w:hAnsi="Times New Roman"/>
          <w:color w:val="000000"/>
          <w:sz w:val="24"/>
        </w:rPr>
        <w:t>(Kraus et al., 2021)</w:t>
      </w:r>
    </w:p>
    <w:p w14:paraId="3C7AE653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Likert, 1932: </w:t>
      </w:r>
      <w:r>
        <w:rPr>
          <w:rFonts w:ascii="Times New Roman" w:eastAsia="Times New Roman" w:hAnsi="Times New Roman"/>
          <w:color w:val="000000"/>
          <w:sz w:val="24"/>
        </w:rPr>
        <w:t>(Likert, 1932)</w:t>
      </w:r>
    </w:p>
    <w:p w14:paraId="51E2D897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Miles et al., 2014: </w:t>
      </w:r>
      <w:r>
        <w:rPr>
          <w:rFonts w:ascii="Times New Roman" w:eastAsia="Times New Roman" w:hAnsi="Times New Roman"/>
          <w:color w:val="000000"/>
          <w:sz w:val="24"/>
        </w:rPr>
        <w:t>(Miles et al., 2014)</w:t>
      </w:r>
    </w:p>
    <w:p w14:paraId="069BFBEA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Nielsen, 1994: </w:t>
      </w:r>
      <w:r>
        <w:rPr>
          <w:rFonts w:ascii="Times New Roman" w:eastAsia="Times New Roman" w:hAnsi="Times New Roman"/>
          <w:color w:val="000000"/>
          <w:sz w:val="24"/>
        </w:rPr>
        <w:t>(Nielsen, 1994)</w:t>
      </w:r>
    </w:p>
    <w:p w14:paraId="291BF86E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Peffers et al., 2007: </w:t>
      </w:r>
      <w:r>
        <w:rPr>
          <w:rFonts w:ascii="Times New Roman" w:eastAsia="Times New Roman" w:hAnsi="Times New Roman"/>
          <w:color w:val="000000"/>
          <w:sz w:val="24"/>
        </w:rPr>
        <w:t>(Peffers et al., 2007)</w:t>
      </w:r>
    </w:p>
    <w:p w14:paraId="3116652F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Pressman &amp; Maxim, 2020: </w:t>
      </w:r>
      <w:r>
        <w:rPr>
          <w:rFonts w:ascii="Times New Roman" w:eastAsia="Times New Roman" w:hAnsi="Times New Roman"/>
          <w:color w:val="000000"/>
          <w:sz w:val="24"/>
        </w:rPr>
        <w:t>(Pressman &amp; Maxim, 2020)</w:t>
      </w:r>
    </w:p>
    <w:p w14:paraId="43349204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Rahman &amp; Saha, 2019: </w:t>
      </w:r>
      <w:r>
        <w:rPr>
          <w:rFonts w:ascii="Times New Roman" w:eastAsia="Times New Roman" w:hAnsi="Times New Roman"/>
          <w:color w:val="000000"/>
          <w:sz w:val="24"/>
        </w:rPr>
        <w:t>(Rahman &amp; Saha, 2019)</w:t>
      </w:r>
    </w:p>
    <w:p w14:paraId="52D28A67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Romero &amp; Ventura, 2020: </w:t>
      </w:r>
      <w:r>
        <w:rPr>
          <w:rFonts w:ascii="Times New Roman" w:eastAsia="Times New Roman" w:hAnsi="Times New Roman"/>
          <w:color w:val="000000"/>
          <w:sz w:val="24"/>
        </w:rPr>
        <w:t>(Romero &amp; Ventura, 2020)</w:t>
      </w:r>
    </w:p>
    <w:p w14:paraId="72148148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Schwaber &amp; Sutherland, 2020: </w:t>
      </w:r>
      <w:r>
        <w:rPr>
          <w:rFonts w:ascii="Times New Roman" w:eastAsia="Times New Roman" w:hAnsi="Times New Roman"/>
          <w:color w:val="000000"/>
          <w:sz w:val="24"/>
        </w:rPr>
        <w:t>(Schwaber &amp; Sutherland, 2020)</w:t>
      </w:r>
    </w:p>
    <w:p w14:paraId="17B0AEA1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Siemens, 2013: </w:t>
      </w:r>
      <w:r>
        <w:rPr>
          <w:rFonts w:ascii="Times New Roman" w:eastAsia="Times New Roman" w:hAnsi="Times New Roman"/>
          <w:color w:val="000000"/>
          <w:sz w:val="24"/>
        </w:rPr>
        <w:t>(Siemens, 2013)</w:t>
      </w:r>
    </w:p>
    <w:p w14:paraId="7028198C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Sommerville, 2016: </w:t>
      </w:r>
      <w:r>
        <w:rPr>
          <w:rFonts w:ascii="Times New Roman" w:eastAsia="Times New Roman" w:hAnsi="Times New Roman"/>
          <w:color w:val="000000"/>
          <w:sz w:val="24"/>
        </w:rPr>
        <w:t>(Sommerville, 2016)</w:t>
      </w:r>
    </w:p>
    <w:p w14:paraId="4D68FF81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Tilkov &amp; Vinoski, 2010: </w:t>
      </w:r>
      <w:r>
        <w:rPr>
          <w:rFonts w:ascii="Times New Roman" w:eastAsia="Times New Roman" w:hAnsi="Times New Roman"/>
          <w:color w:val="000000"/>
          <w:sz w:val="24"/>
        </w:rPr>
        <w:t>(Tilkov &amp; Vinoski, 2010)</w:t>
      </w:r>
    </w:p>
    <w:p w14:paraId="501EC437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Traxler, 2018: </w:t>
      </w:r>
      <w:r>
        <w:rPr>
          <w:rFonts w:ascii="Times New Roman" w:eastAsia="Times New Roman" w:hAnsi="Times New Roman"/>
          <w:color w:val="000000"/>
          <w:sz w:val="24"/>
        </w:rPr>
        <w:t>(Traxler, 2018)</w:t>
      </w:r>
    </w:p>
    <w:p w14:paraId="475A4F57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Venkatesh et al., 2003: </w:t>
      </w:r>
      <w:r>
        <w:rPr>
          <w:rFonts w:ascii="Times New Roman" w:eastAsia="Times New Roman" w:hAnsi="Times New Roman"/>
          <w:color w:val="000000"/>
          <w:sz w:val="24"/>
        </w:rPr>
        <w:t>(Venkatesh et al., 2003)</w:t>
      </w:r>
    </w:p>
    <w:p w14:paraId="6EA2A2E1" w14:textId="77777777" w:rsidR="00503A72" w:rsidRDefault="00000000">
      <w:pPr>
        <w:spacing w:after="80" w:line="480" w:lineRule="auto"/>
        <w:ind w:left="360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Venkatesh et al., 2012: </w:t>
      </w:r>
      <w:r>
        <w:rPr>
          <w:rFonts w:ascii="Times New Roman" w:eastAsia="Times New Roman" w:hAnsi="Times New Roman"/>
          <w:color w:val="000000"/>
          <w:sz w:val="24"/>
        </w:rPr>
        <w:t>(Venkatesh et al., 2012)</w:t>
      </w:r>
    </w:p>
    <w:p w14:paraId="704F8F9D" w14:textId="77777777" w:rsidR="00503A72" w:rsidRDefault="00000000">
      <w:r>
        <w:br w:type="page"/>
      </w:r>
    </w:p>
    <w:p w14:paraId="3745803C" w14:textId="77777777" w:rsidR="00503A72" w:rsidRDefault="00000000">
      <w:pPr>
        <w:spacing w:after="240" w:line="480" w:lineRule="auto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How to Use with Mendeley</w:t>
      </w:r>
    </w:p>
    <w:p w14:paraId="00553D91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1. Open Mendeley Desktop or Mendeley Reference Manager.</w:t>
      </w:r>
    </w:p>
    <w:p w14:paraId="612786E4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2. Import the companion file U_P_L_M_Mendeley_References.ris (File → Import → RIS).</w:t>
      </w:r>
    </w:p>
    <w:p w14:paraId="446EC0E8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3. In Microsoft Word, open Mendeley Cite.</w:t>
      </w:r>
    </w:p>
    <w:p w14:paraId="67EB519B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4. Set citation style to American Psychological Association 7th edition.</w:t>
      </w:r>
    </w:p>
    <w:p w14:paraId="49A69288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5. Insert citations with Insert Citation; insert the bibliography with Insert Bibliography.</w:t>
      </w:r>
    </w:p>
    <w:p w14:paraId="1650427A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6. The References list below matches the hanging-indent APA layout Mendeley generates.</w:t>
      </w:r>
    </w:p>
    <w:p w14:paraId="2012F859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7. Note: Chapters 1–2 sometimes cite Peffers et al., 2012; the canonical DSRM article is Peffers et al. (2007)—use (Peffers et al., 2007) consistently.</w:t>
      </w:r>
    </w:p>
    <w:p w14:paraId="12CE2063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8. Chapters 1–2 cite Kraus et al., 2022; the SAGE Open overview article is dated 2021—prefer (Kraus et al., 2021) to match the reference entry.</w:t>
      </w:r>
    </w:p>
    <w:p w14:paraId="08BD3655" w14:textId="77777777" w:rsidR="00503A72" w:rsidRDefault="00000000">
      <w:pPr>
        <w:spacing w:after="12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9. Tilkov et al., 2010 and Tilkov &amp; Vinoski, 2010 refer to the same IEEE Internet Computing article.</w:t>
      </w:r>
    </w:p>
    <w:sectPr w:rsidR="00503A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86550">
    <w:abstractNumId w:val="8"/>
  </w:num>
  <w:num w:numId="2" w16cid:durableId="864831053">
    <w:abstractNumId w:val="6"/>
  </w:num>
  <w:num w:numId="3" w16cid:durableId="28266426">
    <w:abstractNumId w:val="5"/>
  </w:num>
  <w:num w:numId="4" w16cid:durableId="1990816049">
    <w:abstractNumId w:val="4"/>
  </w:num>
  <w:num w:numId="5" w16cid:durableId="2138256248">
    <w:abstractNumId w:val="7"/>
  </w:num>
  <w:num w:numId="6" w16cid:durableId="1608583363">
    <w:abstractNumId w:val="3"/>
  </w:num>
  <w:num w:numId="7" w16cid:durableId="198327257">
    <w:abstractNumId w:val="2"/>
  </w:num>
  <w:num w:numId="8" w16cid:durableId="956833547">
    <w:abstractNumId w:val="1"/>
  </w:num>
  <w:num w:numId="9" w16cid:durableId="105377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A72"/>
    <w:rsid w:val="00836E28"/>
    <w:rsid w:val="00AA1D8D"/>
    <w:rsid w:val="00B47730"/>
    <w:rsid w:val="00CB0664"/>
    <w:rsid w:val="00D17A33"/>
    <w:rsid w:val="00EC4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04E6B"/>
  <w14:defaultImageDpi w14:val="300"/>
  <w15:docId w15:val="{E2CF4605-9440-4668-9DDC-628F6E60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Maihan</cp:lastModifiedBy>
  <cp:revision>2</cp:revision>
  <dcterms:created xsi:type="dcterms:W3CDTF">2013-12-23T23:15:00Z</dcterms:created>
  <dcterms:modified xsi:type="dcterms:W3CDTF">2026-07-17T22:49:00Z</dcterms:modified>
  <cp:category/>
</cp:coreProperties>
</file>