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0EB0" w14:textId="0A89AAED" w:rsidR="001D18F4" w:rsidRDefault="001D18F4">
      <w:pPr>
        <w:rPr>
          <w:rFonts w:asciiTheme="majorBidi" w:hAnsiTheme="majorBidi" w:cstheme="majorBidi"/>
          <w:sz w:val="18"/>
          <w:szCs w:val="18"/>
        </w:rPr>
      </w:pPr>
      <w:r w:rsidRPr="004F6C6D">
        <w:rPr>
          <w:rStyle w:val="Strong"/>
          <w:rFonts w:asciiTheme="majorBidi" w:hAnsiTheme="majorBidi" w:cstheme="majorBidi"/>
          <w:sz w:val="18"/>
          <w:szCs w:val="18"/>
        </w:rPr>
        <w:t>Supplementary Table S1.</w:t>
      </w:r>
      <w:r w:rsidRPr="004F6C6D">
        <w:rPr>
          <w:rFonts w:asciiTheme="majorBidi" w:hAnsiTheme="majorBidi" w:cstheme="majorBidi"/>
          <w:b/>
          <w:bCs/>
          <w:sz w:val="18"/>
          <w:szCs w:val="18"/>
        </w:rPr>
        <w:t xml:space="preserve"> </w:t>
      </w:r>
      <w:r w:rsidRPr="004F6C6D">
        <w:rPr>
          <w:rFonts w:asciiTheme="majorBidi" w:hAnsiTheme="majorBidi" w:cstheme="majorBidi"/>
          <w:sz w:val="18"/>
          <w:szCs w:val="18"/>
        </w:rPr>
        <w:t xml:space="preserve">List of extracted radiomic features, including their definitions, </w:t>
      </w:r>
      <w:r w:rsidR="00EF2B67" w:rsidRPr="004F6C6D">
        <w:rPr>
          <w:rFonts w:asciiTheme="majorBidi" w:hAnsiTheme="majorBidi" w:cstheme="majorBidi"/>
          <w:sz w:val="18"/>
          <w:szCs w:val="18"/>
        </w:rPr>
        <w:t xml:space="preserve">and </w:t>
      </w:r>
      <w:r w:rsidRPr="004F6C6D">
        <w:rPr>
          <w:rFonts w:asciiTheme="majorBidi" w:hAnsiTheme="majorBidi" w:cstheme="majorBidi"/>
          <w:sz w:val="18"/>
          <w:szCs w:val="18"/>
        </w:rPr>
        <w:t>standard abbreviations</w:t>
      </w:r>
    </w:p>
    <w:p w14:paraId="7F9EF91D" w14:textId="77777777" w:rsidR="00B37699" w:rsidRPr="004F6C6D" w:rsidRDefault="00B37699">
      <w:pPr>
        <w:rPr>
          <w:rFonts w:asciiTheme="majorBidi" w:hAnsiTheme="majorBidi" w:cstheme="majorBidi"/>
          <w:color w:val="000000" w:themeColor="text1"/>
          <w:sz w:val="18"/>
          <w:szCs w:val="18"/>
        </w:rPr>
      </w:pPr>
    </w:p>
    <w:tbl>
      <w:tblPr>
        <w:tblStyle w:val="PlainTable2"/>
        <w:tblW w:w="5000" w:type="pct"/>
        <w:tblLook w:val="04A0" w:firstRow="1" w:lastRow="0" w:firstColumn="1" w:lastColumn="0" w:noHBand="0" w:noVBand="1"/>
      </w:tblPr>
      <w:tblGrid>
        <w:gridCol w:w="1266"/>
        <w:gridCol w:w="1901"/>
        <w:gridCol w:w="1488"/>
        <w:gridCol w:w="6145"/>
      </w:tblGrid>
      <w:tr w:rsidR="001D18F4" w:rsidRPr="004F6C6D" w14:paraId="1973B932" w14:textId="77777777" w:rsidTr="005343B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28C14169" w14:textId="56B17C20" w:rsidR="001D18F4" w:rsidRPr="004F6C6D" w:rsidRDefault="001D18F4" w:rsidP="00EF2B67">
            <w:pPr>
              <w:jc w:val="center"/>
              <w:rPr>
                <w:rFonts w:asciiTheme="majorBidi" w:hAnsiTheme="majorBidi" w:cstheme="majorBidi"/>
                <w:color w:val="000000" w:themeColor="text1"/>
                <w:sz w:val="16"/>
                <w:szCs w:val="16"/>
              </w:rPr>
            </w:pPr>
          </w:p>
        </w:tc>
        <w:tc>
          <w:tcPr>
            <w:tcW w:w="902" w:type="pct"/>
            <w:vAlign w:val="center"/>
            <w:hideMark/>
          </w:tcPr>
          <w:p w14:paraId="18F70F05" w14:textId="77777777" w:rsidR="001D18F4" w:rsidRPr="004F6C6D" w:rsidRDefault="001D18F4" w:rsidP="00EF2B6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6"/>
                <w:szCs w:val="16"/>
              </w:rPr>
            </w:pPr>
            <w:r w:rsidRPr="004F6C6D">
              <w:rPr>
                <w:rFonts w:asciiTheme="majorBidi" w:hAnsiTheme="majorBidi" w:cstheme="majorBidi"/>
                <w:color w:val="000000" w:themeColor="text1"/>
                <w:sz w:val="16"/>
                <w:szCs w:val="16"/>
              </w:rPr>
              <w:t>Feature Name</w:t>
            </w:r>
          </w:p>
        </w:tc>
        <w:tc>
          <w:tcPr>
            <w:tcW w:w="624" w:type="pct"/>
            <w:vAlign w:val="center"/>
            <w:hideMark/>
          </w:tcPr>
          <w:p w14:paraId="5907FD4B" w14:textId="506F614E" w:rsidR="001D18F4" w:rsidRPr="004F6C6D" w:rsidRDefault="00EF2B67" w:rsidP="00EF2B6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6"/>
                <w:szCs w:val="16"/>
              </w:rPr>
            </w:pPr>
            <w:r w:rsidRPr="004F6C6D">
              <w:rPr>
                <w:rFonts w:asciiTheme="majorBidi" w:hAnsiTheme="majorBidi" w:cstheme="majorBidi"/>
                <w:color w:val="000000" w:themeColor="text1"/>
                <w:sz w:val="16"/>
                <w:szCs w:val="16"/>
              </w:rPr>
              <w:t>Abbreviation</w:t>
            </w:r>
          </w:p>
        </w:tc>
        <w:tc>
          <w:tcPr>
            <w:tcW w:w="2866" w:type="pct"/>
            <w:vAlign w:val="center"/>
            <w:hideMark/>
          </w:tcPr>
          <w:p w14:paraId="228D1538" w14:textId="77777777" w:rsidR="001D18F4" w:rsidRPr="004F6C6D" w:rsidRDefault="001D18F4" w:rsidP="00EF2B6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6"/>
                <w:szCs w:val="16"/>
              </w:rPr>
            </w:pPr>
            <w:r w:rsidRPr="004F6C6D">
              <w:rPr>
                <w:rFonts w:asciiTheme="majorBidi" w:hAnsiTheme="majorBidi" w:cstheme="majorBidi"/>
                <w:color w:val="000000" w:themeColor="text1"/>
                <w:sz w:val="16"/>
                <w:szCs w:val="16"/>
              </w:rPr>
              <w:t>Meaning</w:t>
            </w:r>
          </w:p>
        </w:tc>
      </w:tr>
      <w:tr w:rsidR="00EF2B67" w:rsidRPr="004F6C6D" w14:paraId="43F395F3"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restart"/>
            <w:vAlign w:val="center"/>
            <w:hideMark/>
          </w:tcPr>
          <w:p w14:paraId="07948151" w14:textId="67FFA300" w:rsidR="00EF2B67" w:rsidRPr="004F6C6D" w:rsidRDefault="00EF2B67" w:rsidP="00EF2B67">
            <w:pPr>
              <w:jc w:val="center"/>
              <w:rPr>
                <w:rFonts w:asciiTheme="majorBidi" w:hAnsiTheme="majorBidi" w:cstheme="majorBidi"/>
                <w:b w:val="0"/>
                <w:bCs w:val="0"/>
                <w:color w:val="000000"/>
                <w:sz w:val="16"/>
                <w:szCs w:val="16"/>
              </w:rPr>
            </w:pPr>
            <w:r w:rsidRPr="004F6C6D">
              <w:rPr>
                <w:rFonts w:asciiTheme="majorBidi" w:hAnsiTheme="majorBidi" w:cstheme="majorBidi"/>
                <w:b w:val="0"/>
                <w:bCs w:val="0"/>
                <w:color w:val="000000"/>
                <w:sz w:val="16"/>
                <w:szCs w:val="16"/>
              </w:rPr>
              <w:t>First Order Features (FO)</w:t>
            </w:r>
          </w:p>
        </w:tc>
        <w:tc>
          <w:tcPr>
            <w:tcW w:w="902" w:type="pct"/>
            <w:vAlign w:val="center"/>
            <w:hideMark/>
          </w:tcPr>
          <w:p w14:paraId="6731C535"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Energy (E)</w:t>
            </w:r>
          </w:p>
        </w:tc>
        <w:tc>
          <w:tcPr>
            <w:tcW w:w="624" w:type="pct"/>
            <w:vAlign w:val="center"/>
            <w:hideMark/>
          </w:tcPr>
          <w:p w14:paraId="7B6778B6"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FO_E</w:t>
            </w:r>
          </w:p>
        </w:tc>
        <w:tc>
          <w:tcPr>
            <w:tcW w:w="2866" w:type="pct"/>
            <w:vAlign w:val="center"/>
            <w:hideMark/>
          </w:tcPr>
          <w:p w14:paraId="4B8EE4FD" w14:textId="124FF12B"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 xml:space="preserve">A measure of the magnitude of voxel values in an image. A larger </w:t>
            </w:r>
            <w:r w:rsidR="004F6C6D">
              <w:rPr>
                <w:rFonts w:asciiTheme="majorBidi" w:hAnsiTheme="majorBidi" w:cstheme="majorBidi"/>
                <w:color w:val="000000"/>
                <w:sz w:val="16"/>
                <w:szCs w:val="16"/>
              </w:rPr>
              <w:t>value</w:t>
            </w:r>
            <w:r w:rsidRPr="004F6C6D">
              <w:rPr>
                <w:rFonts w:asciiTheme="majorBidi" w:hAnsiTheme="majorBidi" w:cstheme="majorBidi"/>
                <w:color w:val="000000"/>
                <w:sz w:val="16"/>
                <w:szCs w:val="16"/>
              </w:rPr>
              <w:t xml:space="preserve"> implies a greater sum of the squares of these values.</w:t>
            </w:r>
          </w:p>
        </w:tc>
      </w:tr>
      <w:tr w:rsidR="00EF2B67" w:rsidRPr="004F6C6D" w14:paraId="328095E4"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2CC7586" w14:textId="551D1B07"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28C5854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Total Energy (TE)</w:t>
            </w:r>
          </w:p>
        </w:tc>
        <w:tc>
          <w:tcPr>
            <w:tcW w:w="624" w:type="pct"/>
            <w:vAlign w:val="center"/>
            <w:hideMark/>
          </w:tcPr>
          <w:p w14:paraId="3C95AD8F"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FO_TE</w:t>
            </w:r>
          </w:p>
        </w:tc>
        <w:tc>
          <w:tcPr>
            <w:tcW w:w="2866" w:type="pct"/>
            <w:vAlign w:val="center"/>
            <w:hideMark/>
          </w:tcPr>
          <w:p w14:paraId="55302176" w14:textId="7CD34C80"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 xml:space="preserve">The value of </w:t>
            </w:r>
            <w:r w:rsidR="004F6C6D">
              <w:rPr>
                <w:rFonts w:asciiTheme="majorBidi" w:hAnsiTheme="majorBidi" w:cstheme="majorBidi"/>
                <w:color w:val="000000"/>
                <w:sz w:val="16"/>
                <w:szCs w:val="16"/>
              </w:rPr>
              <w:t xml:space="preserve">the </w:t>
            </w:r>
            <w:r w:rsidRPr="004F6C6D">
              <w:rPr>
                <w:rFonts w:asciiTheme="majorBidi" w:hAnsiTheme="majorBidi" w:cstheme="majorBidi"/>
                <w:color w:val="000000"/>
                <w:sz w:val="16"/>
                <w:szCs w:val="16"/>
              </w:rPr>
              <w:t xml:space="preserve">Energy feature </w:t>
            </w:r>
            <w:r w:rsidR="004F6C6D">
              <w:rPr>
                <w:rFonts w:asciiTheme="majorBidi" w:hAnsiTheme="majorBidi" w:cstheme="majorBidi"/>
                <w:color w:val="000000"/>
                <w:sz w:val="16"/>
                <w:szCs w:val="16"/>
              </w:rPr>
              <w:t xml:space="preserve">is </w:t>
            </w:r>
            <w:r w:rsidRPr="004F6C6D">
              <w:rPr>
                <w:rFonts w:asciiTheme="majorBidi" w:hAnsiTheme="majorBidi" w:cstheme="majorBidi"/>
                <w:color w:val="000000"/>
                <w:sz w:val="16"/>
                <w:szCs w:val="16"/>
              </w:rPr>
              <w:t>scaled by the volume of the voxel in cu</w:t>
            </w:r>
            <w:r w:rsidRPr="004F6C6D">
              <w:rPr>
                <w:rFonts w:asciiTheme="majorBidi" w:hAnsiTheme="majorBidi" w:cstheme="majorBidi"/>
                <w:sz w:val="16"/>
                <w:szCs w:val="16"/>
              </w:rPr>
              <w:t>bic mm.</w:t>
            </w:r>
          </w:p>
        </w:tc>
      </w:tr>
      <w:tr w:rsidR="00EF2B67" w:rsidRPr="004F6C6D" w14:paraId="6CD71D5C"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A03267F" w14:textId="58A2C830"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5E8815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Entropy (En)</w:t>
            </w:r>
          </w:p>
        </w:tc>
        <w:tc>
          <w:tcPr>
            <w:tcW w:w="624" w:type="pct"/>
            <w:vAlign w:val="center"/>
            <w:hideMark/>
          </w:tcPr>
          <w:p w14:paraId="33B7EBE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FO_En</w:t>
            </w:r>
          </w:p>
        </w:tc>
        <w:tc>
          <w:tcPr>
            <w:tcW w:w="2866" w:type="pct"/>
            <w:vAlign w:val="center"/>
            <w:hideMark/>
          </w:tcPr>
          <w:p w14:paraId="31E3022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Specifies the uncertainty/randomness in the image values. It measures the average amount of information required to encode the image values.</w:t>
            </w:r>
          </w:p>
        </w:tc>
      </w:tr>
      <w:tr w:rsidR="00EF2B67" w:rsidRPr="004F6C6D" w14:paraId="6F5C5A9A"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38E484A" w14:textId="77E6C1CF"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477E7B8"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Minimum (Min)</w:t>
            </w:r>
          </w:p>
        </w:tc>
        <w:tc>
          <w:tcPr>
            <w:tcW w:w="624" w:type="pct"/>
            <w:vAlign w:val="center"/>
            <w:hideMark/>
          </w:tcPr>
          <w:p w14:paraId="17015776"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FO_Min</w:t>
            </w:r>
          </w:p>
        </w:tc>
        <w:tc>
          <w:tcPr>
            <w:tcW w:w="2866" w:type="pct"/>
            <w:vAlign w:val="center"/>
            <w:hideMark/>
          </w:tcPr>
          <w:p w14:paraId="298506A3"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lowest pixel intensity value within the ROI.</w:t>
            </w:r>
          </w:p>
        </w:tc>
      </w:tr>
      <w:tr w:rsidR="00EF2B67" w:rsidRPr="004F6C6D" w14:paraId="27B8A932"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50CB969" w14:textId="6AA62360"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431C78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10th Percentile (10P)</w:t>
            </w:r>
          </w:p>
        </w:tc>
        <w:tc>
          <w:tcPr>
            <w:tcW w:w="624" w:type="pct"/>
            <w:vAlign w:val="center"/>
            <w:hideMark/>
          </w:tcPr>
          <w:p w14:paraId="54C0BD2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FO_10P</w:t>
            </w:r>
          </w:p>
        </w:tc>
        <w:tc>
          <w:tcPr>
            <w:tcW w:w="2866" w:type="pct"/>
            <w:vAlign w:val="center"/>
            <w:hideMark/>
          </w:tcPr>
          <w:p w14:paraId="0125F1C4"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10th percentile of X.</w:t>
            </w:r>
          </w:p>
        </w:tc>
      </w:tr>
      <w:tr w:rsidR="00EF2B67" w:rsidRPr="004F6C6D" w14:paraId="4AF00E47"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23FB775" w14:textId="02A7F96A"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16DF61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90th Percentile (90P)</w:t>
            </w:r>
          </w:p>
        </w:tc>
        <w:tc>
          <w:tcPr>
            <w:tcW w:w="624" w:type="pct"/>
            <w:vAlign w:val="center"/>
            <w:hideMark/>
          </w:tcPr>
          <w:p w14:paraId="42874FF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FO_90P</w:t>
            </w:r>
          </w:p>
        </w:tc>
        <w:tc>
          <w:tcPr>
            <w:tcW w:w="2866" w:type="pct"/>
            <w:vAlign w:val="center"/>
            <w:hideMark/>
          </w:tcPr>
          <w:p w14:paraId="5C1273C4"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90th percentile of X.</w:t>
            </w:r>
          </w:p>
        </w:tc>
      </w:tr>
      <w:tr w:rsidR="00EF2B67" w:rsidRPr="004F6C6D" w14:paraId="7A3D052C"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6609F18" w14:textId="0117FB54"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3C44BB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Maximum Intensity (MaxI)</w:t>
            </w:r>
          </w:p>
        </w:tc>
        <w:tc>
          <w:tcPr>
            <w:tcW w:w="624" w:type="pct"/>
            <w:vAlign w:val="center"/>
            <w:hideMark/>
          </w:tcPr>
          <w:p w14:paraId="4C9A5A6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FO_MaxI</w:t>
            </w:r>
          </w:p>
        </w:tc>
        <w:tc>
          <w:tcPr>
            <w:tcW w:w="2866" w:type="pct"/>
            <w:vAlign w:val="center"/>
            <w:hideMark/>
          </w:tcPr>
          <w:p w14:paraId="588B7CB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maximum gray-level intensity within the ROI.</w:t>
            </w:r>
          </w:p>
        </w:tc>
      </w:tr>
      <w:tr w:rsidR="00EF2B67" w:rsidRPr="004F6C6D" w14:paraId="2E328CCC"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1FC50C3" w14:textId="10117241"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7B31259"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Mean Intensity (MI)</w:t>
            </w:r>
          </w:p>
        </w:tc>
        <w:tc>
          <w:tcPr>
            <w:tcW w:w="624" w:type="pct"/>
            <w:vAlign w:val="center"/>
            <w:hideMark/>
          </w:tcPr>
          <w:p w14:paraId="4BD39B13"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FO_MI</w:t>
            </w:r>
          </w:p>
        </w:tc>
        <w:tc>
          <w:tcPr>
            <w:tcW w:w="2866" w:type="pct"/>
            <w:vAlign w:val="center"/>
            <w:hideMark/>
          </w:tcPr>
          <w:p w14:paraId="0FF11154"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average gray-level intensity within the ROI.</w:t>
            </w:r>
          </w:p>
        </w:tc>
      </w:tr>
      <w:tr w:rsidR="00EF2B67" w:rsidRPr="004F6C6D" w14:paraId="5C5B93CC"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4503A4F" w14:textId="0858DC96"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4D9DE7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Median Intensity (MedI)</w:t>
            </w:r>
          </w:p>
        </w:tc>
        <w:tc>
          <w:tcPr>
            <w:tcW w:w="624" w:type="pct"/>
            <w:vAlign w:val="center"/>
            <w:hideMark/>
          </w:tcPr>
          <w:p w14:paraId="65392990"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FO_MedI</w:t>
            </w:r>
          </w:p>
        </w:tc>
        <w:tc>
          <w:tcPr>
            <w:tcW w:w="2866" w:type="pct"/>
            <w:vAlign w:val="center"/>
            <w:hideMark/>
          </w:tcPr>
          <w:p w14:paraId="5CFC7684"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median gray-level intensity within the ROI.</w:t>
            </w:r>
          </w:p>
        </w:tc>
      </w:tr>
      <w:tr w:rsidR="00EF2B67" w:rsidRPr="004F6C6D" w14:paraId="798C1FF4"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041DDE3" w14:textId="541316F3"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9EA3311" w14:textId="7B645DF8"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Interquartile Range (IQR)</w:t>
            </w:r>
          </w:p>
        </w:tc>
        <w:tc>
          <w:tcPr>
            <w:tcW w:w="624" w:type="pct"/>
            <w:vAlign w:val="center"/>
            <w:hideMark/>
          </w:tcPr>
          <w:p w14:paraId="68B5F8B4"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FO_IQR</w:t>
            </w:r>
          </w:p>
        </w:tc>
        <w:tc>
          <w:tcPr>
            <w:tcW w:w="2866" w:type="pct"/>
            <w:vAlign w:val="center"/>
            <w:hideMark/>
          </w:tcPr>
          <w:p w14:paraId="2812EFF4"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Here P25 and P75 are the 25th and 75th percentile of the image array, respectively.</w:t>
            </w:r>
          </w:p>
        </w:tc>
      </w:tr>
      <w:tr w:rsidR="00EF2B67" w:rsidRPr="004F6C6D" w14:paraId="788E3ABC"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FB2DC50" w14:textId="5475E283"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BBAA887"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Range (R)</w:t>
            </w:r>
          </w:p>
        </w:tc>
        <w:tc>
          <w:tcPr>
            <w:tcW w:w="624" w:type="pct"/>
            <w:vAlign w:val="center"/>
            <w:hideMark/>
          </w:tcPr>
          <w:p w14:paraId="22E0171D"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FO_R</w:t>
            </w:r>
          </w:p>
        </w:tc>
        <w:tc>
          <w:tcPr>
            <w:tcW w:w="2866" w:type="pct"/>
            <w:vAlign w:val="center"/>
            <w:hideMark/>
          </w:tcPr>
          <w:p w14:paraId="09E385B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range of gray-values in the ROI.</w:t>
            </w:r>
          </w:p>
        </w:tc>
      </w:tr>
      <w:tr w:rsidR="00EF2B67" w:rsidRPr="004F6C6D" w14:paraId="71D19724"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3703C68" w14:textId="497F9953"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03CA09DF"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Mean Absolute Deviation (MAD)</w:t>
            </w:r>
          </w:p>
        </w:tc>
        <w:tc>
          <w:tcPr>
            <w:tcW w:w="624" w:type="pct"/>
            <w:vAlign w:val="center"/>
            <w:hideMark/>
          </w:tcPr>
          <w:p w14:paraId="78E96A4E"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FO_MAD</w:t>
            </w:r>
          </w:p>
        </w:tc>
        <w:tc>
          <w:tcPr>
            <w:tcW w:w="2866" w:type="pct"/>
            <w:vAlign w:val="center"/>
            <w:hideMark/>
          </w:tcPr>
          <w:p w14:paraId="2DA0185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mean distance of all intensity values from the Mean Value of the image array.</w:t>
            </w:r>
          </w:p>
        </w:tc>
      </w:tr>
      <w:tr w:rsidR="00EF2B67" w:rsidRPr="004F6C6D" w14:paraId="0541A493"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0A0375E" w14:textId="3F29E7E9"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D78CB37"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Robust Mean Absolute Deviation  (rMAD)</w:t>
            </w:r>
          </w:p>
        </w:tc>
        <w:tc>
          <w:tcPr>
            <w:tcW w:w="624" w:type="pct"/>
            <w:vAlign w:val="center"/>
            <w:hideMark/>
          </w:tcPr>
          <w:p w14:paraId="4E18F46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FO_rMAD</w:t>
            </w:r>
          </w:p>
        </w:tc>
        <w:tc>
          <w:tcPr>
            <w:tcW w:w="2866" w:type="pct"/>
            <w:vAlign w:val="center"/>
            <w:hideMark/>
          </w:tcPr>
          <w:p w14:paraId="2E6574E1" w14:textId="45B2988E"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mean distance of all intensity values from the Mean Value calculated on the subset of image array with gray-levels in between, or equal to the 10th and 90th percentile.</w:t>
            </w:r>
          </w:p>
        </w:tc>
      </w:tr>
      <w:tr w:rsidR="00EF2B67" w:rsidRPr="004F6C6D" w14:paraId="48746B42"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2533DCB" w14:textId="6F93614A"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0E767CE6"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Root Mean Square (RMS)</w:t>
            </w:r>
          </w:p>
        </w:tc>
        <w:tc>
          <w:tcPr>
            <w:tcW w:w="624" w:type="pct"/>
            <w:vAlign w:val="center"/>
            <w:hideMark/>
          </w:tcPr>
          <w:p w14:paraId="72A24976"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FO_RMS</w:t>
            </w:r>
          </w:p>
        </w:tc>
        <w:tc>
          <w:tcPr>
            <w:tcW w:w="2866" w:type="pct"/>
            <w:vAlign w:val="center"/>
            <w:hideMark/>
          </w:tcPr>
          <w:p w14:paraId="56E91FC3"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square-root of the mean of all the squared intensity values.It is another measure of the magnitude of the image values. This feature is volume-confounded, a larger value of cincreases the effect of volume-confounding.</w:t>
            </w:r>
          </w:p>
        </w:tc>
      </w:tr>
      <w:tr w:rsidR="00EF2B67" w:rsidRPr="004F6C6D" w14:paraId="3D4A5425"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543A0A3" w14:textId="04084EB2"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E766900"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Standard Deviation (SD)</w:t>
            </w:r>
          </w:p>
        </w:tc>
        <w:tc>
          <w:tcPr>
            <w:tcW w:w="624" w:type="pct"/>
            <w:vAlign w:val="center"/>
            <w:hideMark/>
          </w:tcPr>
          <w:p w14:paraId="1FA71266"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FO_SD</w:t>
            </w:r>
          </w:p>
        </w:tc>
        <w:tc>
          <w:tcPr>
            <w:tcW w:w="2866" w:type="pct"/>
            <w:vAlign w:val="center"/>
            <w:hideMark/>
          </w:tcPr>
          <w:p w14:paraId="67798E05"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amount of variation or dispersion from the Mean Value.</w:t>
            </w:r>
          </w:p>
        </w:tc>
      </w:tr>
      <w:tr w:rsidR="00EF2B67" w:rsidRPr="004F6C6D" w14:paraId="5CC2BAF9"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78AF2B8" w14:textId="4DBFAB0D"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88E7088"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Skewness (Sk)</w:t>
            </w:r>
          </w:p>
        </w:tc>
        <w:tc>
          <w:tcPr>
            <w:tcW w:w="624" w:type="pct"/>
            <w:vAlign w:val="center"/>
            <w:hideMark/>
          </w:tcPr>
          <w:p w14:paraId="6B7FFCA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FO_Sk</w:t>
            </w:r>
          </w:p>
        </w:tc>
        <w:tc>
          <w:tcPr>
            <w:tcW w:w="2866" w:type="pct"/>
            <w:vAlign w:val="center"/>
            <w:hideMark/>
          </w:tcPr>
          <w:p w14:paraId="280B838F"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asymmetry of the distribution of values about the Mean value. Depending on where the tail is elongated and the mass of the distribution is concentrated, this value can be positive or negative.</w:t>
            </w:r>
          </w:p>
        </w:tc>
      </w:tr>
      <w:tr w:rsidR="00EF2B67" w:rsidRPr="004F6C6D" w14:paraId="61BBA0BB"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58BBAE0" w14:textId="4D11E7E4"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C8CE3BD"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Kurtosis (Ku)</w:t>
            </w:r>
          </w:p>
        </w:tc>
        <w:tc>
          <w:tcPr>
            <w:tcW w:w="624" w:type="pct"/>
            <w:vAlign w:val="center"/>
            <w:hideMark/>
          </w:tcPr>
          <w:p w14:paraId="5409A49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FO_Ku</w:t>
            </w:r>
          </w:p>
        </w:tc>
        <w:tc>
          <w:tcPr>
            <w:tcW w:w="2866" w:type="pct"/>
            <w:vAlign w:val="center"/>
            <w:hideMark/>
          </w:tcPr>
          <w:p w14:paraId="10FD553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‘peakedness’ of the distribution of values in the image ROI.A higher kurtosis implies that the mass of the distribution is concentrated towards the tail(s) rather than towards the mean. A lower kurtosis implies the reverse: that the mass of the distribution is concentrated towards a spike near the Mean value.</w:t>
            </w:r>
          </w:p>
        </w:tc>
      </w:tr>
      <w:tr w:rsidR="00EF2B67" w:rsidRPr="004F6C6D" w14:paraId="5E1A38C0"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6122023" w14:textId="42F9EB52"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067E8B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Variance (V)</w:t>
            </w:r>
          </w:p>
        </w:tc>
        <w:tc>
          <w:tcPr>
            <w:tcW w:w="624" w:type="pct"/>
            <w:vAlign w:val="center"/>
            <w:hideMark/>
          </w:tcPr>
          <w:p w14:paraId="1D583E1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FO_V</w:t>
            </w:r>
          </w:p>
        </w:tc>
        <w:tc>
          <w:tcPr>
            <w:tcW w:w="2866" w:type="pct"/>
            <w:vAlign w:val="center"/>
            <w:hideMark/>
          </w:tcPr>
          <w:p w14:paraId="5D53421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the mean of the squared distances of each intensity value from the Mean value. This is a measure of the spread of the distribution about the mean.</w:t>
            </w:r>
          </w:p>
        </w:tc>
      </w:tr>
      <w:tr w:rsidR="00EF2B67" w:rsidRPr="004F6C6D" w14:paraId="6FB0D5BB"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F000EE5" w14:textId="08C58C4C"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048254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Uniformity (Un)</w:t>
            </w:r>
          </w:p>
        </w:tc>
        <w:tc>
          <w:tcPr>
            <w:tcW w:w="624" w:type="pct"/>
            <w:vAlign w:val="center"/>
            <w:hideMark/>
          </w:tcPr>
          <w:p w14:paraId="5ACC116D"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FO_Un</w:t>
            </w:r>
          </w:p>
        </w:tc>
        <w:tc>
          <w:tcPr>
            <w:tcW w:w="2866" w:type="pct"/>
            <w:vAlign w:val="center"/>
            <w:hideMark/>
          </w:tcPr>
          <w:p w14:paraId="61C5789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sum of the squares of each intensity value. This is a measure of the homogeneity of the image array, where a greater uniformity implies a greater homogeneity or a smaller range of discrete intensity values.</w:t>
            </w:r>
          </w:p>
        </w:tc>
      </w:tr>
      <w:tr w:rsidR="00EF2B67" w:rsidRPr="004F6C6D" w14:paraId="1171035B"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restart"/>
            <w:vAlign w:val="center"/>
            <w:hideMark/>
          </w:tcPr>
          <w:p w14:paraId="6E0457B3" w14:textId="2585F578" w:rsidR="00EF2B67" w:rsidRPr="004F6C6D" w:rsidRDefault="00EF2B67" w:rsidP="00EF2B67">
            <w:pPr>
              <w:jc w:val="center"/>
              <w:rPr>
                <w:rFonts w:asciiTheme="majorBidi" w:hAnsiTheme="majorBidi" w:cstheme="majorBidi"/>
                <w:color w:val="000000"/>
                <w:sz w:val="16"/>
                <w:szCs w:val="16"/>
              </w:rPr>
            </w:pPr>
            <w:r w:rsidRPr="004F6C6D">
              <w:rPr>
                <w:rFonts w:asciiTheme="majorBidi" w:hAnsiTheme="majorBidi" w:cstheme="majorBidi"/>
                <w:b w:val="0"/>
                <w:bCs w:val="0"/>
                <w:color w:val="000000"/>
                <w:sz w:val="16"/>
                <w:szCs w:val="16"/>
              </w:rPr>
              <w:t>Shape Features (SF)</w:t>
            </w:r>
          </w:p>
        </w:tc>
        <w:tc>
          <w:tcPr>
            <w:tcW w:w="902" w:type="pct"/>
            <w:vAlign w:val="center"/>
            <w:hideMark/>
          </w:tcPr>
          <w:p w14:paraId="37A5561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Mesh Volume (Mv)</w:t>
            </w:r>
          </w:p>
        </w:tc>
        <w:tc>
          <w:tcPr>
            <w:tcW w:w="624" w:type="pct"/>
            <w:vAlign w:val="center"/>
            <w:hideMark/>
          </w:tcPr>
          <w:p w14:paraId="5CE508D2" w14:textId="7FF4E78E"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hint="cs"/>
                <w:color w:val="000000"/>
                <w:sz w:val="16"/>
                <w:szCs w:val="16"/>
                <w:rtl/>
                <w:lang w:bidi="fa-IR"/>
              </w:rPr>
            </w:pPr>
            <w:r w:rsidRPr="004F6C6D">
              <w:rPr>
                <w:rFonts w:asciiTheme="majorBidi" w:hAnsiTheme="majorBidi" w:cstheme="majorBidi"/>
                <w:color w:val="000000"/>
                <w:sz w:val="16"/>
                <w:szCs w:val="16"/>
              </w:rPr>
              <w:t>SF_M</w:t>
            </w:r>
            <w:r w:rsidR="00772FC9">
              <w:rPr>
                <w:rFonts w:asciiTheme="majorBidi" w:hAnsiTheme="majorBidi" w:cstheme="majorBidi"/>
                <w:color w:val="000000"/>
                <w:sz w:val="16"/>
                <w:szCs w:val="16"/>
              </w:rPr>
              <w:t>V</w:t>
            </w:r>
          </w:p>
        </w:tc>
        <w:tc>
          <w:tcPr>
            <w:tcW w:w="2866" w:type="pct"/>
            <w:vAlign w:val="center"/>
            <w:hideMark/>
          </w:tcPr>
          <w:p w14:paraId="59905746"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volume of the ROI VV is calculated from the triangle mesh of the ROI.</w:t>
            </w:r>
          </w:p>
        </w:tc>
      </w:tr>
      <w:tr w:rsidR="00EF2B67" w:rsidRPr="004F6C6D" w14:paraId="1FD0818E"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79A7541" w14:textId="36F3562E"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B91051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Voxel Volume (VV)</w:t>
            </w:r>
          </w:p>
        </w:tc>
        <w:tc>
          <w:tcPr>
            <w:tcW w:w="624" w:type="pct"/>
            <w:vAlign w:val="center"/>
            <w:hideMark/>
          </w:tcPr>
          <w:p w14:paraId="457E4D2E" w14:textId="7B6D25AB"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SF_VV</w:t>
            </w:r>
          </w:p>
        </w:tc>
        <w:tc>
          <w:tcPr>
            <w:tcW w:w="2866" w:type="pct"/>
            <w:vAlign w:val="center"/>
            <w:hideMark/>
          </w:tcPr>
          <w:p w14:paraId="1963AC2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volume of the ROI Vvoxel is approximated by multiplying the number of voxels in the ROI by the volume of a single voxel Vk.</w:t>
            </w:r>
          </w:p>
        </w:tc>
      </w:tr>
      <w:tr w:rsidR="00EF2B67" w:rsidRPr="004F6C6D" w14:paraId="4FA16D89"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D06E434" w14:textId="303DFAE7"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2C6D5A89"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Surface Area (SA)</w:t>
            </w:r>
          </w:p>
        </w:tc>
        <w:tc>
          <w:tcPr>
            <w:tcW w:w="624" w:type="pct"/>
            <w:vAlign w:val="center"/>
            <w:hideMark/>
          </w:tcPr>
          <w:p w14:paraId="7A3703B8" w14:textId="254B06FC"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SF_SA</w:t>
            </w:r>
          </w:p>
        </w:tc>
        <w:tc>
          <w:tcPr>
            <w:tcW w:w="2866" w:type="pct"/>
            <w:vAlign w:val="center"/>
            <w:hideMark/>
          </w:tcPr>
          <w:p w14:paraId="2B96B4C3"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To calculate the surface area, first the surface area Ai of each triangle in the mesh is calculated . The total surface area is then obtained by taking the sum of all calculated sub-areas.</w:t>
            </w:r>
          </w:p>
        </w:tc>
      </w:tr>
      <w:tr w:rsidR="00EF2B67" w:rsidRPr="004F6C6D" w14:paraId="6ED00357"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EF412A8" w14:textId="2E19D6FD"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47CBAD4"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Surface Area to Volume ratio (SAVR)</w:t>
            </w:r>
          </w:p>
        </w:tc>
        <w:tc>
          <w:tcPr>
            <w:tcW w:w="624" w:type="pct"/>
            <w:vAlign w:val="center"/>
            <w:hideMark/>
          </w:tcPr>
          <w:p w14:paraId="70184455" w14:textId="4A57C0BF"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SF_SAVR</w:t>
            </w:r>
          </w:p>
        </w:tc>
        <w:tc>
          <w:tcPr>
            <w:tcW w:w="2866" w:type="pct"/>
            <w:vAlign w:val="center"/>
            <w:hideMark/>
          </w:tcPr>
          <w:p w14:paraId="6E0271AE"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Here, a lower value indicates a more compact (sphere-like) shape. This feature is not dimensionless, and is therefore (partly) dependent on the volume of the ROI.</w:t>
            </w:r>
          </w:p>
        </w:tc>
      </w:tr>
      <w:tr w:rsidR="00EF2B67" w:rsidRPr="004F6C6D" w14:paraId="0CD38F03"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D1D066F" w14:textId="30596DE5"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D8CA479"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Sphericity (Sp)</w:t>
            </w:r>
          </w:p>
        </w:tc>
        <w:tc>
          <w:tcPr>
            <w:tcW w:w="624" w:type="pct"/>
            <w:vAlign w:val="center"/>
            <w:hideMark/>
          </w:tcPr>
          <w:p w14:paraId="378E68C2" w14:textId="238A3901"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SF_Sp</w:t>
            </w:r>
          </w:p>
        </w:tc>
        <w:tc>
          <w:tcPr>
            <w:tcW w:w="2866" w:type="pct"/>
            <w:vAlign w:val="center"/>
            <w:hideMark/>
          </w:tcPr>
          <w:p w14:paraId="6D55BA28"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roundness of the shape of the tumor region relative to a sphere.It is a dimensionless measure, independent of scale and orientation.</w:t>
            </w:r>
          </w:p>
        </w:tc>
      </w:tr>
      <w:tr w:rsidR="00EF2B67" w:rsidRPr="004F6C6D" w14:paraId="361B0034"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B2230F2" w14:textId="71D9B6B1"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9BC78F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Compactness 1 (Com1)</w:t>
            </w:r>
          </w:p>
        </w:tc>
        <w:tc>
          <w:tcPr>
            <w:tcW w:w="624" w:type="pct"/>
            <w:vAlign w:val="center"/>
            <w:hideMark/>
          </w:tcPr>
          <w:p w14:paraId="2E7ABA9C" w14:textId="08B99822"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SF_Com1</w:t>
            </w:r>
          </w:p>
        </w:tc>
        <w:tc>
          <w:tcPr>
            <w:tcW w:w="2866" w:type="pct"/>
            <w:vAlign w:val="center"/>
            <w:hideMark/>
          </w:tcPr>
          <w:p w14:paraId="3555C2B2"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how compact the shape of the tumor is relative to a sphere (most compact). It is therefore correlated to Sphericity and redundant. It is provided here for completeness.</w:t>
            </w:r>
          </w:p>
        </w:tc>
      </w:tr>
      <w:tr w:rsidR="00EF2B67" w:rsidRPr="004F6C6D" w14:paraId="3FCF1CCE"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4E3A70D" w14:textId="48428F99"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C8C8798"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Compactness 2 (Com2)</w:t>
            </w:r>
          </w:p>
        </w:tc>
        <w:tc>
          <w:tcPr>
            <w:tcW w:w="624" w:type="pct"/>
            <w:vAlign w:val="center"/>
            <w:hideMark/>
          </w:tcPr>
          <w:p w14:paraId="663AC54E" w14:textId="530E0FBD"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SF_Com2</w:t>
            </w:r>
          </w:p>
        </w:tc>
        <w:tc>
          <w:tcPr>
            <w:tcW w:w="2866" w:type="pct"/>
            <w:vAlign w:val="center"/>
            <w:hideMark/>
          </w:tcPr>
          <w:p w14:paraId="77B04189"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how compact the shape of the tumor is relative to a sphere (most compact). It is a dimensionless measure, independent of scale and orientation.</w:t>
            </w:r>
          </w:p>
        </w:tc>
      </w:tr>
      <w:tr w:rsidR="00EF2B67" w:rsidRPr="004F6C6D" w14:paraId="15FB8EBA"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790E43B" w14:textId="3C8BBE9E"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C90534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Spherical Disproportion (SpD)</w:t>
            </w:r>
          </w:p>
        </w:tc>
        <w:tc>
          <w:tcPr>
            <w:tcW w:w="624" w:type="pct"/>
            <w:vAlign w:val="center"/>
            <w:hideMark/>
          </w:tcPr>
          <w:p w14:paraId="27D8565D" w14:textId="5D7EB920"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SF_SpD</w:t>
            </w:r>
          </w:p>
        </w:tc>
        <w:tc>
          <w:tcPr>
            <w:tcW w:w="2866" w:type="pct"/>
            <w:vAlign w:val="center"/>
            <w:hideMark/>
          </w:tcPr>
          <w:p w14:paraId="3175F9C3"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ratio of the surface area of the tumor region to the surface area of a sphere with the same volume as the tumor region, and by definition, the inverse of Sphericity.</w:t>
            </w:r>
          </w:p>
        </w:tc>
      </w:tr>
      <w:tr w:rsidR="00EF2B67" w:rsidRPr="004F6C6D" w14:paraId="58F3542F"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E9F23B9" w14:textId="581C8BAA"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A2A6C36"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Maximum 3D Diameter (Max3DD)</w:t>
            </w:r>
          </w:p>
        </w:tc>
        <w:tc>
          <w:tcPr>
            <w:tcW w:w="624" w:type="pct"/>
            <w:vAlign w:val="center"/>
            <w:hideMark/>
          </w:tcPr>
          <w:p w14:paraId="7886452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SF_Max3DD</w:t>
            </w:r>
          </w:p>
        </w:tc>
        <w:tc>
          <w:tcPr>
            <w:tcW w:w="2866" w:type="pct"/>
            <w:vAlign w:val="center"/>
            <w:hideMark/>
          </w:tcPr>
          <w:p w14:paraId="52170A4F"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Defined as the largest pairwise Euclidean distance between tumor surface mesh vertices, Also known as Feret Diameter.</w:t>
            </w:r>
          </w:p>
        </w:tc>
      </w:tr>
      <w:tr w:rsidR="00EF2B67" w:rsidRPr="004F6C6D" w14:paraId="43D276C7"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9F186F7" w14:textId="5A26D18C"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1D356D3"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Maximum 2D diameter (Slice)</w:t>
            </w:r>
          </w:p>
        </w:tc>
        <w:tc>
          <w:tcPr>
            <w:tcW w:w="624" w:type="pct"/>
            <w:vAlign w:val="center"/>
            <w:hideMark/>
          </w:tcPr>
          <w:p w14:paraId="73B68CC1"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SF_Max2DD (Slice)</w:t>
            </w:r>
          </w:p>
        </w:tc>
        <w:tc>
          <w:tcPr>
            <w:tcW w:w="2866" w:type="pct"/>
            <w:vAlign w:val="center"/>
            <w:hideMark/>
          </w:tcPr>
          <w:p w14:paraId="3D42B97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largest pairwise Euclidean distance between tumor surface mesh vertices in the row-column (generally the axial) plane.</w:t>
            </w:r>
          </w:p>
        </w:tc>
      </w:tr>
      <w:tr w:rsidR="00EF2B67" w:rsidRPr="004F6C6D" w14:paraId="0CD2563F"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C239AFD" w14:textId="1E41CB11"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CFDCEE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Maximum 2D diameter (Column)</w:t>
            </w:r>
          </w:p>
        </w:tc>
        <w:tc>
          <w:tcPr>
            <w:tcW w:w="624" w:type="pct"/>
            <w:vAlign w:val="center"/>
            <w:hideMark/>
          </w:tcPr>
          <w:p w14:paraId="2FF82D0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SF_Max2DD (Column)</w:t>
            </w:r>
          </w:p>
        </w:tc>
        <w:tc>
          <w:tcPr>
            <w:tcW w:w="2866" w:type="pct"/>
            <w:vAlign w:val="center"/>
            <w:hideMark/>
          </w:tcPr>
          <w:p w14:paraId="5EE4DBD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largest pairwise Euclidean distance between tumor surface mesh vertices in the row-slice (usually the coronal) plane.</w:t>
            </w:r>
          </w:p>
        </w:tc>
      </w:tr>
      <w:tr w:rsidR="00EF2B67" w:rsidRPr="004F6C6D" w14:paraId="4AC61B52"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C435685" w14:textId="5D181188"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E5B2FE4"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Maximum 2D diameter (Row)</w:t>
            </w:r>
          </w:p>
        </w:tc>
        <w:tc>
          <w:tcPr>
            <w:tcW w:w="624" w:type="pct"/>
            <w:vAlign w:val="center"/>
            <w:hideMark/>
          </w:tcPr>
          <w:p w14:paraId="4B49162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SF_Max2DD (Row)</w:t>
            </w:r>
          </w:p>
        </w:tc>
        <w:tc>
          <w:tcPr>
            <w:tcW w:w="2866" w:type="pct"/>
            <w:vAlign w:val="center"/>
            <w:hideMark/>
          </w:tcPr>
          <w:p w14:paraId="4DE44F61"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largest pairwise Euclidean distance between tumor surface mesh vertices in the column-slice (usually the sagittal) plane.</w:t>
            </w:r>
          </w:p>
        </w:tc>
      </w:tr>
      <w:tr w:rsidR="00EF2B67" w:rsidRPr="004F6C6D" w14:paraId="708360F8"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D1305E3" w14:textId="7F657DBF"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DD59AE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Major Axis Length (MAL)</w:t>
            </w:r>
          </w:p>
        </w:tc>
        <w:tc>
          <w:tcPr>
            <w:tcW w:w="624" w:type="pct"/>
            <w:vAlign w:val="center"/>
            <w:hideMark/>
          </w:tcPr>
          <w:p w14:paraId="16A53830" w14:textId="6190D6F1"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SF_MAL</w:t>
            </w:r>
          </w:p>
        </w:tc>
        <w:tc>
          <w:tcPr>
            <w:tcW w:w="2866" w:type="pct"/>
            <w:vAlign w:val="center"/>
            <w:hideMark/>
          </w:tcPr>
          <w:p w14:paraId="5B6944D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This feature yield the largest axis length of the ROI-enclosing ellipsoid and is calculated using the largest principal component λmajor.</w:t>
            </w:r>
          </w:p>
        </w:tc>
      </w:tr>
      <w:tr w:rsidR="00EF2B67" w:rsidRPr="004F6C6D" w14:paraId="20546591"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B2BFB02" w14:textId="73960570"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14971BD"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Minor Axis Length (MiAL)</w:t>
            </w:r>
          </w:p>
        </w:tc>
        <w:tc>
          <w:tcPr>
            <w:tcW w:w="624" w:type="pct"/>
            <w:vAlign w:val="center"/>
            <w:hideMark/>
          </w:tcPr>
          <w:p w14:paraId="599D3CCB" w14:textId="0C92BEFC"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SF_MiAL</w:t>
            </w:r>
          </w:p>
        </w:tc>
        <w:tc>
          <w:tcPr>
            <w:tcW w:w="2866" w:type="pct"/>
            <w:vAlign w:val="center"/>
            <w:hideMark/>
          </w:tcPr>
          <w:p w14:paraId="00322F7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This feature yield the second-largest axis length of the ROI-enclosing ellipsoid and is calculated using the largest principal component λminor.</w:t>
            </w:r>
          </w:p>
        </w:tc>
      </w:tr>
      <w:tr w:rsidR="00EF2B67" w:rsidRPr="004F6C6D" w14:paraId="58824474"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0C92406" w14:textId="5D5BA008"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F77D2D2"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Least Axis Length (LAL)</w:t>
            </w:r>
          </w:p>
        </w:tc>
        <w:tc>
          <w:tcPr>
            <w:tcW w:w="624" w:type="pct"/>
            <w:vAlign w:val="center"/>
            <w:hideMark/>
          </w:tcPr>
          <w:p w14:paraId="52DF978E" w14:textId="74B57E72"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SF_LAL</w:t>
            </w:r>
          </w:p>
        </w:tc>
        <w:tc>
          <w:tcPr>
            <w:tcW w:w="2866" w:type="pct"/>
            <w:vAlign w:val="center"/>
            <w:hideMark/>
          </w:tcPr>
          <w:p w14:paraId="66C6178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This feature yield the smallest axis length of the ROI-enclosing ellipsoid and is calculated using the largest principal component λleast.</w:t>
            </w:r>
            <w:r w:rsidRPr="004F6C6D">
              <w:rPr>
                <w:rFonts w:asciiTheme="majorBidi" w:hAnsiTheme="majorBidi" w:cstheme="majorBidi"/>
                <w:color w:val="000000"/>
                <w:sz w:val="16"/>
                <w:szCs w:val="16"/>
              </w:rPr>
              <w:br/>
              <w:t>In case of a 2D segmentation, this value will be 0.</w:t>
            </w:r>
          </w:p>
        </w:tc>
      </w:tr>
      <w:tr w:rsidR="00EF2B67" w:rsidRPr="004F6C6D" w14:paraId="1E39F6CE"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888F3E1" w14:textId="1F1746F9"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900BB21"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Elongation (E)</w:t>
            </w:r>
          </w:p>
        </w:tc>
        <w:tc>
          <w:tcPr>
            <w:tcW w:w="624" w:type="pct"/>
            <w:vAlign w:val="center"/>
            <w:hideMark/>
          </w:tcPr>
          <w:p w14:paraId="0C17CA44" w14:textId="71C0BE64"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SF_E</w:t>
            </w:r>
          </w:p>
        </w:tc>
        <w:tc>
          <w:tcPr>
            <w:tcW w:w="2866" w:type="pct"/>
            <w:vAlign w:val="center"/>
            <w:hideMark/>
          </w:tcPr>
          <w:p w14:paraId="07B74E0D"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relationship between the two largest principal components in the ROI shape. For computational reasons, this feature is defined as the inverse of true elongation.</w:t>
            </w:r>
          </w:p>
        </w:tc>
      </w:tr>
      <w:tr w:rsidR="00EF2B67" w:rsidRPr="004F6C6D" w14:paraId="6F2712F4"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0BE0B83" w14:textId="5B0A7FCB"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05CC6FC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Flatness (F)</w:t>
            </w:r>
          </w:p>
        </w:tc>
        <w:tc>
          <w:tcPr>
            <w:tcW w:w="624" w:type="pct"/>
            <w:vAlign w:val="center"/>
            <w:hideMark/>
          </w:tcPr>
          <w:p w14:paraId="0EE97200" w14:textId="0A550096"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SF_F</w:t>
            </w:r>
          </w:p>
        </w:tc>
        <w:tc>
          <w:tcPr>
            <w:tcW w:w="2866" w:type="pct"/>
            <w:vAlign w:val="center"/>
            <w:hideMark/>
          </w:tcPr>
          <w:p w14:paraId="2CC726C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The relationship between the largest and smallest principal components in the ROI shape. For computational reasons, this feature is defined as the inverse of true flatness.</w:t>
            </w:r>
          </w:p>
        </w:tc>
      </w:tr>
      <w:tr w:rsidR="00EF2B67" w:rsidRPr="004F6C6D" w14:paraId="4D8C6B1D"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restart"/>
            <w:vAlign w:val="center"/>
            <w:hideMark/>
          </w:tcPr>
          <w:p w14:paraId="49C43871" w14:textId="77777777" w:rsidR="00EF2B67" w:rsidRPr="004F6C6D" w:rsidRDefault="00EF2B67" w:rsidP="00EF2B67">
            <w:pPr>
              <w:jc w:val="center"/>
              <w:rPr>
                <w:rFonts w:asciiTheme="majorBidi" w:hAnsiTheme="majorBidi" w:cstheme="majorBidi"/>
                <w:color w:val="000000"/>
                <w:sz w:val="16"/>
                <w:szCs w:val="16"/>
              </w:rPr>
            </w:pPr>
            <w:r w:rsidRPr="004F6C6D">
              <w:rPr>
                <w:rFonts w:asciiTheme="majorBidi" w:hAnsiTheme="majorBidi" w:cstheme="majorBidi"/>
                <w:b w:val="0"/>
                <w:bCs w:val="0"/>
                <w:color w:val="000000"/>
                <w:sz w:val="16"/>
                <w:szCs w:val="16"/>
              </w:rPr>
              <w:t xml:space="preserve">Gray Level Co-occurrence </w:t>
            </w:r>
            <w:r w:rsidRPr="004F6C6D">
              <w:rPr>
                <w:rFonts w:asciiTheme="majorBidi" w:hAnsiTheme="majorBidi" w:cstheme="majorBidi"/>
                <w:b w:val="0"/>
                <w:bCs w:val="0"/>
                <w:color w:val="000000"/>
                <w:sz w:val="16"/>
                <w:szCs w:val="16"/>
              </w:rPr>
              <w:lastRenderedPageBreak/>
              <w:t>Matrix (GLCM) Features</w:t>
            </w:r>
          </w:p>
        </w:tc>
        <w:tc>
          <w:tcPr>
            <w:tcW w:w="902" w:type="pct"/>
            <w:vAlign w:val="center"/>
            <w:hideMark/>
          </w:tcPr>
          <w:p w14:paraId="07B630C7"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lastRenderedPageBreak/>
              <w:t>Autocorrelation (AC)</w:t>
            </w:r>
          </w:p>
        </w:tc>
        <w:tc>
          <w:tcPr>
            <w:tcW w:w="624" w:type="pct"/>
            <w:vAlign w:val="center"/>
            <w:hideMark/>
          </w:tcPr>
          <w:p w14:paraId="737A0114"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GLCM_AC</w:t>
            </w:r>
          </w:p>
        </w:tc>
        <w:tc>
          <w:tcPr>
            <w:tcW w:w="2866" w:type="pct"/>
            <w:vAlign w:val="center"/>
            <w:hideMark/>
          </w:tcPr>
          <w:p w14:paraId="2A8864B6"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Returns the mean gray level intensity of the i distribution.</w:t>
            </w:r>
          </w:p>
        </w:tc>
      </w:tr>
      <w:tr w:rsidR="00EF2B67" w:rsidRPr="004F6C6D" w14:paraId="73EE63DC"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EF61EF0" w14:textId="53F23A8F"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30DAA23"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Joint Average (JA)</w:t>
            </w:r>
          </w:p>
        </w:tc>
        <w:tc>
          <w:tcPr>
            <w:tcW w:w="624" w:type="pct"/>
            <w:vAlign w:val="center"/>
            <w:hideMark/>
          </w:tcPr>
          <w:p w14:paraId="1E44EF76"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GLCM_JA</w:t>
            </w:r>
          </w:p>
        </w:tc>
        <w:tc>
          <w:tcPr>
            <w:tcW w:w="2866" w:type="pct"/>
            <w:vAlign w:val="center"/>
            <w:hideMark/>
          </w:tcPr>
          <w:p w14:paraId="55A3472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Returns the mean gray level intensity of the i distribution.</w:t>
            </w:r>
          </w:p>
        </w:tc>
      </w:tr>
      <w:tr w:rsidR="00EF2B67" w:rsidRPr="004F6C6D" w14:paraId="6B69B2E0"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B79D8F3" w14:textId="0EBD5D77"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2C8496A7"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Cluster Prominence (CP)</w:t>
            </w:r>
          </w:p>
        </w:tc>
        <w:tc>
          <w:tcPr>
            <w:tcW w:w="624" w:type="pct"/>
            <w:vAlign w:val="center"/>
            <w:hideMark/>
          </w:tcPr>
          <w:p w14:paraId="75945D3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GLCM_CP</w:t>
            </w:r>
          </w:p>
        </w:tc>
        <w:tc>
          <w:tcPr>
            <w:tcW w:w="2866" w:type="pct"/>
            <w:vAlign w:val="center"/>
            <w:hideMark/>
          </w:tcPr>
          <w:p w14:paraId="57C99519"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skewness and asymmetry of the GLCM. A higher values implies more asymmetry about the mean while a lower value indicates a peak near the mean value and less variation about the mean.</w:t>
            </w:r>
          </w:p>
        </w:tc>
      </w:tr>
      <w:tr w:rsidR="00EF2B67" w:rsidRPr="004F6C6D" w14:paraId="27A1D349"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1003090" w14:textId="11B745B9"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0F53E174"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Cluster Shade (CS)</w:t>
            </w:r>
          </w:p>
        </w:tc>
        <w:tc>
          <w:tcPr>
            <w:tcW w:w="624" w:type="pct"/>
            <w:vAlign w:val="center"/>
            <w:hideMark/>
          </w:tcPr>
          <w:p w14:paraId="1FFCCA27"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GLCM_CS</w:t>
            </w:r>
          </w:p>
        </w:tc>
        <w:tc>
          <w:tcPr>
            <w:tcW w:w="2866" w:type="pct"/>
            <w:vAlign w:val="center"/>
            <w:hideMark/>
          </w:tcPr>
          <w:p w14:paraId="3FE3F7AF"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skewness and uniformity of the GLCM. A higher cluster shade implies greater asymmetry about the mean.</w:t>
            </w:r>
          </w:p>
        </w:tc>
      </w:tr>
      <w:tr w:rsidR="00EF2B67" w:rsidRPr="004F6C6D" w14:paraId="79C3C200"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63361C7" w14:textId="3EFA731E"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C3AC2FD"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Cluster Tendency (CT)</w:t>
            </w:r>
          </w:p>
        </w:tc>
        <w:tc>
          <w:tcPr>
            <w:tcW w:w="624" w:type="pct"/>
            <w:vAlign w:val="center"/>
            <w:hideMark/>
          </w:tcPr>
          <w:p w14:paraId="755770D9"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GLCM_CT</w:t>
            </w:r>
          </w:p>
        </w:tc>
        <w:tc>
          <w:tcPr>
            <w:tcW w:w="2866" w:type="pct"/>
            <w:vAlign w:val="center"/>
            <w:hideMark/>
          </w:tcPr>
          <w:p w14:paraId="3691284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groupings of voxels with similar gray level values.</w:t>
            </w:r>
          </w:p>
        </w:tc>
      </w:tr>
      <w:tr w:rsidR="00EF2B67" w:rsidRPr="004F6C6D" w14:paraId="41642EC6"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5F66465" w14:textId="291F267C"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8767432"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Contrast (Co)</w:t>
            </w:r>
          </w:p>
        </w:tc>
        <w:tc>
          <w:tcPr>
            <w:tcW w:w="624" w:type="pct"/>
            <w:vAlign w:val="center"/>
            <w:hideMark/>
          </w:tcPr>
          <w:p w14:paraId="3354858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GLCM_Co</w:t>
            </w:r>
          </w:p>
        </w:tc>
        <w:tc>
          <w:tcPr>
            <w:tcW w:w="2866" w:type="pct"/>
            <w:vAlign w:val="center"/>
            <w:hideMark/>
          </w:tcPr>
          <w:p w14:paraId="4C93139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local intensity variation, favoring values away from the diagonal (i=j)(i=j). A larger value correlates with a greater disparity in intensity values among neighboring voxels.</w:t>
            </w:r>
          </w:p>
        </w:tc>
      </w:tr>
      <w:tr w:rsidR="00EF2B67" w:rsidRPr="004F6C6D" w14:paraId="086971BA"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B63395F" w14:textId="2B141BB2"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89CCA60"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Correlation (Corr)</w:t>
            </w:r>
          </w:p>
        </w:tc>
        <w:tc>
          <w:tcPr>
            <w:tcW w:w="624" w:type="pct"/>
            <w:vAlign w:val="center"/>
            <w:hideMark/>
          </w:tcPr>
          <w:p w14:paraId="620CAF0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GLCM_Corr</w:t>
            </w:r>
          </w:p>
        </w:tc>
        <w:tc>
          <w:tcPr>
            <w:tcW w:w="2866" w:type="pct"/>
            <w:vAlign w:val="center"/>
            <w:hideMark/>
          </w:tcPr>
          <w:p w14:paraId="1BA447F6"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value between 0 (uncorrelated) and 1 (perfectly correlated) showing the linear dependency of gray-level values to their respective voxels in the GLCM.</w:t>
            </w:r>
          </w:p>
        </w:tc>
      </w:tr>
      <w:tr w:rsidR="00EF2B67" w:rsidRPr="004F6C6D" w14:paraId="5FCCECA7"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03C9960" w14:textId="3D773B6E"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FD4E98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Difference Average (DA)</w:t>
            </w:r>
          </w:p>
        </w:tc>
        <w:tc>
          <w:tcPr>
            <w:tcW w:w="624" w:type="pct"/>
            <w:vAlign w:val="center"/>
            <w:hideMark/>
          </w:tcPr>
          <w:p w14:paraId="66104206"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GLCM_DA</w:t>
            </w:r>
          </w:p>
        </w:tc>
        <w:tc>
          <w:tcPr>
            <w:tcW w:w="2866" w:type="pct"/>
            <w:vAlign w:val="center"/>
            <w:hideMark/>
          </w:tcPr>
          <w:p w14:paraId="18C1D9C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relationship between occurrences of pairs with similar intensity values and occurrences of pairs with differing intensity values.</w:t>
            </w:r>
          </w:p>
        </w:tc>
      </w:tr>
      <w:tr w:rsidR="00EF2B67" w:rsidRPr="004F6C6D" w14:paraId="78D98438"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39FAD71" w14:textId="222FB48B"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2FCD9BA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Difference Entropy (DiEn)</w:t>
            </w:r>
          </w:p>
        </w:tc>
        <w:tc>
          <w:tcPr>
            <w:tcW w:w="624" w:type="pct"/>
            <w:vAlign w:val="center"/>
            <w:hideMark/>
          </w:tcPr>
          <w:p w14:paraId="7DD9E43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GLCM_DiEn</w:t>
            </w:r>
          </w:p>
        </w:tc>
        <w:tc>
          <w:tcPr>
            <w:tcW w:w="2866" w:type="pct"/>
            <w:vAlign w:val="center"/>
            <w:hideMark/>
          </w:tcPr>
          <w:p w14:paraId="2B15A7F7"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randomness/variability in neighborhood intensity value differences.</w:t>
            </w:r>
          </w:p>
        </w:tc>
      </w:tr>
      <w:tr w:rsidR="00EF2B67" w:rsidRPr="004F6C6D" w14:paraId="7D1B7397"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BB26236" w14:textId="1B2DFA36"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56E93DA"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Joint Energy (JE)</w:t>
            </w:r>
          </w:p>
        </w:tc>
        <w:tc>
          <w:tcPr>
            <w:tcW w:w="624" w:type="pct"/>
            <w:vAlign w:val="center"/>
            <w:hideMark/>
          </w:tcPr>
          <w:p w14:paraId="4E2ACAB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GLCM_JE</w:t>
            </w:r>
          </w:p>
        </w:tc>
        <w:tc>
          <w:tcPr>
            <w:tcW w:w="2866" w:type="pct"/>
            <w:vAlign w:val="center"/>
            <w:hideMark/>
          </w:tcPr>
          <w:p w14:paraId="5AAEC07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homogeneous patterns in the image. A greater Energy implies that there are more instances of intensity value pairs in the image that neighbor each other at higher frequencies.</w:t>
            </w:r>
          </w:p>
        </w:tc>
      </w:tr>
      <w:tr w:rsidR="00EF2B67" w:rsidRPr="004F6C6D" w14:paraId="00D90A92"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12E758C" w14:textId="4DE4A88E"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0E6041E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Joint Entropy (JEn)</w:t>
            </w:r>
          </w:p>
        </w:tc>
        <w:tc>
          <w:tcPr>
            <w:tcW w:w="624" w:type="pct"/>
            <w:vAlign w:val="center"/>
            <w:hideMark/>
          </w:tcPr>
          <w:p w14:paraId="1DCDA7D8"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GLCM_JEn</w:t>
            </w:r>
          </w:p>
        </w:tc>
        <w:tc>
          <w:tcPr>
            <w:tcW w:w="2866" w:type="pct"/>
            <w:vAlign w:val="center"/>
            <w:hideMark/>
          </w:tcPr>
          <w:p w14:paraId="75ACCA47"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randomness/variability in neighborhood intensity values.</w:t>
            </w:r>
          </w:p>
        </w:tc>
      </w:tr>
      <w:tr w:rsidR="00EF2B67" w:rsidRPr="004F6C6D" w14:paraId="3894C5A7"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177316C" w14:textId="58233F9A"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4AFC06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Informational Measure of Correlation (IMC1)</w:t>
            </w:r>
          </w:p>
        </w:tc>
        <w:tc>
          <w:tcPr>
            <w:tcW w:w="624" w:type="pct"/>
            <w:vAlign w:val="center"/>
            <w:hideMark/>
          </w:tcPr>
          <w:p w14:paraId="1575B974"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GLCM_IMC1</w:t>
            </w:r>
          </w:p>
        </w:tc>
        <w:tc>
          <w:tcPr>
            <w:tcW w:w="2866" w:type="pct"/>
            <w:vAlign w:val="center"/>
            <w:hideMark/>
          </w:tcPr>
          <w:p w14:paraId="60585A8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Assesses the correlation between the probability distributions of ii and jj (quantifying the complexity of the texture), using mutual information I(x, y):</w:t>
            </w:r>
          </w:p>
        </w:tc>
      </w:tr>
      <w:tr w:rsidR="00EF2B67" w:rsidRPr="004F6C6D" w14:paraId="6A57D26B"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E6F79C0" w14:textId="5B4BE5FD"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59E8BAC" w14:textId="09C2FC19"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Informational Measure of Correlation (IMC2)</w:t>
            </w:r>
          </w:p>
        </w:tc>
        <w:tc>
          <w:tcPr>
            <w:tcW w:w="624" w:type="pct"/>
            <w:vAlign w:val="center"/>
            <w:hideMark/>
          </w:tcPr>
          <w:p w14:paraId="3E6125E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GLCM_IMC2</w:t>
            </w:r>
          </w:p>
        </w:tc>
        <w:tc>
          <w:tcPr>
            <w:tcW w:w="2866" w:type="pct"/>
            <w:vAlign w:val="center"/>
            <w:hideMark/>
          </w:tcPr>
          <w:p w14:paraId="2FF87972"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Also assesses the correlation between the probability distributions of ii and jj (quantifying the complexity of the texture).</w:t>
            </w:r>
          </w:p>
        </w:tc>
      </w:tr>
      <w:tr w:rsidR="00EF2B67" w:rsidRPr="004F6C6D" w14:paraId="3275CD73"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6304211" w14:textId="184DEEC0"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4634EEE"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Inverse Difference Moment (IDM)</w:t>
            </w:r>
          </w:p>
        </w:tc>
        <w:tc>
          <w:tcPr>
            <w:tcW w:w="624" w:type="pct"/>
            <w:vAlign w:val="center"/>
            <w:hideMark/>
          </w:tcPr>
          <w:p w14:paraId="30D7E89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GLCM_IDM</w:t>
            </w:r>
          </w:p>
        </w:tc>
        <w:tc>
          <w:tcPr>
            <w:tcW w:w="2866" w:type="pct"/>
            <w:vAlign w:val="center"/>
            <w:hideMark/>
          </w:tcPr>
          <w:p w14:paraId="660394F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local homogeneity of an image. IDM weights are the inverse of the Contrast weights (decreasing exponentially from the diagonal i=j in the GLCM).</w:t>
            </w:r>
          </w:p>
        </w:tc>
      </w:tr>
      <w:tr w:rsidR="00EF2B67" w:rsidRPr="004F6C6D" w14:paraId="7437BCE7"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C577DD4" w14:textId="00CD00EA"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3833209"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Maximal Correlation Coefficient (MCC)</w:t>
            </w:r>
          </w:p>
        </w:tc>
        <w:tc>
          <w:tcPr>
            <w:tcW w:w="624" w:type="pct"/>
            <w:vAlign w:val="center"/>
            <w:hideMark/>
          </w:tcPr>
          <w:p w14:paraId="0B23856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GLCM_MCC</w:t>
            </w:r>
          </w:p>
        </w:tc>
        <w:tc>
          <w:tcPr>
            <w:tcW w:w="2866" w:type="pct"/>
            <w:vAlign w:val="center"/>
            <w:hideMark/>
          </w:tcPr>
          <w:p w14:paraId="6CC24757"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complexity of the texture and 0≤MCC≤10≤MCC≤1.</w:t>
            </w:r>
          </w:p>
        </w:tc>
      </w:tr>
      <w:tr w:rsidR="00EF2B67" w:rsidRPr="004F6C6D" w14:paraId="74E4EDB0"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956E421" w14:textId="53A8B738"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57A835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Inverse Difference Moment Normalized (IDMN)</w:t>
            </w:r>
          </w:p>
        </w:tc>
        <w:tc>
          <w:tcPr>
            <w:tcW w:w="624" w:type="pct"/>
            <w:vAlign w:val="center"/>
            <w:hideMark/>
          </w:tcPr>
          <w:p w14:paraId="380E0AD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GLCM_IDMN</w:t>
            </w:r>
          </w:p>
        </w:tc>
        <w:tc>
          <w:tcPr>
            <w:tcW w:w="2866" w:type="pct"/>
            <w:vAlign w:val="center"/>
            <w:hideMark/>
          </w:tcPr>
          <w:p w14:paraId="0DC25FE1" w14:textId="0A89D19D"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local homogeneity of an image.</w:t>
            </w:r>
          </w:p>
        </w:tc>
      </w:tr>
      <w:tr w:rsidR="00EF2B67" w:rsidRPr="004F6C6D" w14:paraId="1D1F5DC8"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D7F6690" w14:textId="643B330C"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B8E4BE5"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Inverse Difference (ID)</w:t>
            </w:r>
          </w:p>
        </w:tc>
        <w:tc>
          <w:tcPr>
            <w:tcW w:w="624" w:type="pct"/>
            <w:vAlign w:val="center"/>
            <w:hideMark/>
          </w:tcPr>
          <w:p w14:paraId="4D028920"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GLCM_ID</w:t>
            </w:r>
          </w:p>
        </w:tc>
        <w:tc>
          <w:tcPr>
            <w:tcW w:w="2866" w:type="pct"/>
            <w:vAlign w:val="center"/>
            <w:hideMark/>
          </w:tcPr>
          <w:p w14:paraId="755370E8"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Another measure of the local homogeneity of an image. With more uniform gray levels, the denominator will remain low, resulting in a higher overall value.</w:t>
            </w:r>
          </w:p>
        </w:tc>
      </w:tr>
      <w:tr w:rsidR="00EF2B67" w:rsidRPr="004F6C6D" w14:paraId="6444AB26"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75D91E7" w14:textId="4E224A58"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BB3395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Inverse Difference Normalized (IDN)</w:t>
            </w:r>
          </w:p>
        </w:tc>
        <w:tc>
          <w:tcPr>
            <w:tcW w:w="624" w:type="pct"/>
            <w:vAlign w:val="center"/>
            <w:hideMark/>
          </w:tcPr>
          <w:p w14:paraId="65AC749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GLCM_IDN</w:t>
            </w:r>
          </w:p>
        </w:tc>
        <w:tc>
          <w:tcPr>
            <w:tcW w:w="2866" w:type="pct"/>
            <w:vAlign w:val="center"/>
            <w:hideMark/>
          </w:tcPr>
          <w:p w14:paraId="2401632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Another measure of the local homogeneity of an image</w:t>
            </w:r>
          </w:p>
        </w:tc>
      </w:tr>
      <w:tr w:rsidR="00EF2B67" w:rsidRPr="004F6C6D" w14:paraId="11F56CEA"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966B98E" w14:textId="148AFCE5"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4E953E1"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Inverse Variance(IV)</w:t>
            </w:r>
          </w:p>
        </w:tc>
        <w:tc>
          <w:tcPr>
            <w:tcW w:w="624" w:type="pct"/>
            <w:vAlign w:val="center"/>
            <w:hideMark/>
          </w:tcPr>
          <w:p w14:paraId="7643A9A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GLCM_IV</w:t>
            </w:r>
          </w:p>
        </w:tc>
        <w:tc>
          <w:tcPr>
            <w:tcW w:w="2866" w:type="pct"/>
            <w:vAlign w:val="center"/>
            <w:hideMark/>
          </w:tcPr>
          <w:p w14:paraId="1CD0D12D"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Inverse variance.</w:t>
            </w:r>
          </w:p>
        </w:tc>
      </w:tr>
      <w:tr w:rsidR="00EF2B67" w:rsidRPr="004F6C6D" w14:paraId="60AAD4C1"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F5FFE04" w14:textId="33149863"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0A08AF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Maximum Probability (MP)</w:t>
            </w:r>
          </w:p>
        </w:tc>
        <w:tc>
          <w:tcPr>
            <w:tcW w:w="624" w:type="pct"/>
            <w:vAlign w:val="center"/>
            <w:hideMark/>
          </w:tcPr>
          <w:p w14:paraId="5A00D3D7"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GLCM_MP</w:t>
            </w:r>
          </w:p>
        </w:tc>
        <w:tc>
          <w:tcPr>
            <w:tcW w:w="2866" w:type="pct"/>
            <w:vAlign w:val="center"/>
            <w:hideMark/>
          </w:tcPr>
          <w:p w14:paraId="6CCBC754"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Occurrences of the most predominant pair of neighboring intensity values.</w:t>
            </w:r>
          </w:p>
        </w:tc>
      </w:tr>
      <w:tr w:rsidR="00EF2B67" w:rsidRPr="004F6C6D" w14:paraId="0F46D58A"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4B0D7E4" w14:textId="3826D479"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F570F42"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Sum Average (SA)</w:t>
            </w:r>
          </w:p>
        </w:tc>
        <w:tc>
          <w:tcPr>
            <w:tcW w:w="624" w:type="pct"/>
            <w:vAlign w:val="center"/>
            <w:hideMark/>
          </w:tcPr>
          <w:p w14:paraId="29F1311E"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GLCM_Sav</w:t>
            </w:r>
          </w:p>
        </w:tc>
        <w:tc>
          <w:tcPr>
            <w:tcW w:w="2866" w:type="pct"/>
            <w:vAlign w:val="center"/>
            <w:hideMark/>
          </w:tcPr>
          <w:p w14:paraId="24F61315"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relationship between occurrences of pairs with lower intensity values and occurrences of pairs with higher intensity values.</w:t>
            </w:r>
          </w:p>
        </w:tc>
      </w:tr>
      <w:tr w:rsidR="00EF2B67" w:rsidRPr="004F6C6D" w14:paraId="4688613E"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B7AB87F" w14:textId="44B1FCE0"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E049DCE"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Sum Entropy (SEn)</w:t>
            </w:r>
          </w:p>
        </w:tc>
        <w:tc>
          <w:tcPr>
            <w:tcW w:w="624" w:type="pct"/>
            <w:vAlign w:val="center"/>
            <w:hideMark/>
          </w:tcPr>
          <w:p w14:paraId="3226AE1F"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GLCM_SEn</w:t>
            </w:r>
          </w:p>
        </w:tc>
        <w:tc>
          <w:tcPr>
            <w:tcW w:w="2866" w:type="pct"/>
            <w:vAlign w:val="center"/>
            <w:hideMark/>
          </w:tcPr>
          <w:p w14:paraId="10F29D47"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sum of neighborhood intensity value differences.</w:t>
            </w:r>
          </w:p>
        </w:tc>
      </w:tr>
      <w:tr w:rsidR="00EF2B67" w:rsidRPr="004F6C6D" w14:paraId="716726AB"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907670E" w14:textId="7B3EEBD2"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2C0974A1"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Sum of Squares (SQ)</w:t>
            </w:r>
          </w:p>
        </w:tc>
        <w:tc>
          <w:tcPr>
            <w:tcW w:w="624" w:type="pct"/>
            <w:vAlign w:val="center"/>
            <w:hideMark/>
          </w:tcPr>
          <w:p w14:paraId="01CC1796"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GLCM_SQ</w:t>
            </w:r>
          </w:p>
        </w:tc>
        <w:tc>
          <w:tcPr>
            <w:tcW w:w="2866" w:type="pct"/>
            <w:vAlign w:val="center"/>
            <w:hideMark/>
          </w:tcPr>
          <w:p w14:paraId="0DB199D5"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in the distribution of neigboring intensity level pairs about the mean intensity level in the GLCM.</w:t>
            </w:r>
          </w:p>
        </w:tc>
      </w:tr>
      <w:tr w:rsidR="00EF2B67" w:rsidRPr="004F6C6D" w14:paraId="2DB661B4"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restart"/>
            <w:vAlign w:val="center"/>
            <w:hideMark/>
          </w:tcPr>
          <w:p w14:paraId="1D4357FF" w14:textId="77777777" w:rsidR="00EF2B67" w:rsidRPr="004F6C6D" w:rsidRDefault="00EF2B67" w:rsidP="00EF2B67">
            <w:pPr>
              <w:jc w:val="center"/>
              <w:rPr>
                <w:rFonts w:asciiTheme="majorBidi" w:hAnsiTheme="majorBidi" w:cstheme="majorBidi"/>
                <w:color w:val="000000"/>
                <w:sz w:val="16"/>
                <w:szCs w:val="16"/>
              </w:rPr>
            </w:pPr>
            <w:r w:rsidRPr="004F6C6D">
              <w:rPr>
                <w:rFonts w:asciiTheme="majorBidi" w:hAnsiTheme="majorBidi" w:cstheme="majorBidi"/>
                <w:b w:val="0"/>
                <w:bCs w:val="0"/>
                <w:color w:val="000000"/>
                <w:sz w:val="16"/>
                <w:szCs w:val="16"/>
              </w:rPr>
              <w:t>Gray Level Size Zone Matrix (GLSZM) Features</w:t>
            </w:r>
          </w:p>
        </w:tc>
        <w:tc>
          <w:tcPr>
            <w:tcW w:w="902" w:type="pct"/>
            <w:vAlign w:val="center"/>
            <w:hideMark/>
          </w:tcPr>
          <w:p w14:paraId="3B939E7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Small Area Emphasis (SAE)</w:t>
            </w:r>
          </w:p>
        </w:tc>
        <w:tc>
          <w:tcPr>
            <w:tcW w:w="624" w:type="pct"/>
            <w:vAlign w:val="center"/>
            <w:hideMark/>
          </w:tcPr>
          <w:p w14:paraId="29320F7F"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GLSZM_SAE</w:t>
            </w:r>
          </w:p>
        </w:tc>
        <w:tc>
          <w:tcPr>
            <w:tcW w:w="2866" w:type="pct"/>
            <w:vAlign w:val="center"/>
            <w:hideMark/>
          </w:tcPr>
          <w:p w14:paraId="008948B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distribution of small size zones, with a greater value indicative of more smaller size zones and more fine textures.</w:t>
            </w:r>
          </w:p>
        </w:tc>
      </w:tr>
      <w:tr w:rsidR="00EF2B67" w:rsidRPr="004F6C6D" w14:paraId="4443A766"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8CF0118" w14:textId="37E9DE50"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869DEB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Large Area Emphasis (LAE)</w:t>
            </w:r>
          </w:p>
        </w:tc>
        <w:tc>
          <w:tcPr>
            <w:tcW w:w="624" w:type="pct"/>
            <w:vAlign w:val="center"/>
            <w:hideMark/>
          </w:tcPr>
          <w:p w14:paraId="20928879"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GLSZM_LAE</w:t>
            </w:r>
          </w:p>
        </w:tc>
        <w:tc>
          <w:tcPr>
            <w:tcW w:w="2866" w:type="pct"/>
            <w:vAlign w:val="center"/>
            <w:hideMark/>
          </w:tcPr>
          <w:p w14:paraId="308A49F2"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distribution of large area size zones, with a greater value indicative of more larger size zones and more coarse textures.</w:t>
            </w:r>
          </w:p>
        </w:tc>
      </w:tr>
      <w:tr w:rsidR="00EF2B67" w:rsidRPr="004F6C6D" w14:paraId="52B7FBC5"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279CFC4" w14:textId="220262AE"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62478A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Gray Level Non-Uniformity (GLN)</w:t>
            </w:r>
          </w:p>
        </w:tc>
        <w:tc>
          <w:tcPr>
            <w:tcW w:w="624" w:type="pct"/>
            <w:vAlign w:val="center"/>
            <w:hideMark/>
          </w:tcPr>
          <w:p w14:paraId="00349E0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GLSZM_GLN</w:t>
            </w:r>
          </w:p>
        </w:tc>
        <w:tc>
          <w:tcPr>
            <w:tcW w:w="2866" w:type="pct"/>
            <w:vAlign w:val="center"/>
            <w:hideMark/>
          </w:tcPr>
          <w:p w14:paraId="7D9EDE02"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variability of gray-level intensity values in the image, with a lower value indicating more homogeneity in intensity values.</w:t>
            </w:r>
          </w:p>
        </w:tc>
      </w:tr>
      <w:tr w:rsidR="00EF2B67" w:rsidRPr="004F6C6D" w14:paraId="64F629C7"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742A52E" w14:textId="509068DA"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2C7D623"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Gray Level Non-Uniformity Normalized (GLNN)</w:t>
            </w:r>
          </w:p>
        </w:tc>
        <w:tc>
          <w:tcPr>
            <w:tcW w:w="624" w:type="pct"/>
            <w:vAlign w:val="center"/>
            <w:hideMark/>
          </w:tcPr>
          <w:p w14:paraId="576EE34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GLSZM_GLNN</w:t>
            </w:r>
          </w:p>
        </w:tc>
        <w:tc>
          <w:tcPr>
            <w:tcW w:w="2866" w:type="pct"/>
            <w:vAlign w:val="center"/>
            <w:hideMark/>
          </w:tcPr>
          <w:p w14:paraId="54128145"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variability of gray-level intensity values in the image, with a lower value indicating a greater similarity in intensity values. This is the normalized version of the GLN formula.</w:t>
            </w:r>
          </w:p>
        </w:tc>
      </w:tr>
      <w:tr w:rsidR="00EF2B67" w:rsidRPr="004F6C6D" w14:paraId="17A66DFC"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2AD9ED8" w14:textId="4F136383"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9B39F5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Size-Zone Non-Uniformity (SZN)</w:t>
            </w:r>
          </w:p>
        </w:tc>
        <w:tc>
          <w:tcPr>
            <w:tcW w:w="624" w:type="pct"/>
            <w:vAlign w:val="center"/>
            <w:hideMark/>
          </w:tcPr>
          <w:p w14:paraId="2AF54C9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GLSZM_SZN</w:t>
            </w:r>
          </w:p>
        </w:tc>
        <w:tc>
          <w:tcPr>
            <w:tcW w:w="2866" w:type="pct"/>
            <w:vAlign w:val="center"/>
            <w:hideMark/>
          </w:tcPr>
          <w:p w14:paraId="1F86F65F"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variability of size zone volumes in the image, with a lower value indicating more homogeneity in size zone volumes.</w:t>
            </w:r>
          </w:p>
        </w:tc>
      </w:tr>
      <w:tr w:rsidR="00EF2B67" w:rsidRPr="004F6C6D" w14:paraId="651F8D47"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6D61D5C" w14:textId="35DD7D25"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F3130D5"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Size-Zone Non-Uniformity Normalized (SZNN)</w:t>
            </w:r>
          </w:p>
        </w:tc>
        <w:tc>
          <w:tcPr>
            <w:tcW w:w="624" w:type="pct"/>
            <w:vAlign w:val="center"/>
            <w:hideMark/>
          </w:tcPr>
          <w:p w14:paraId="5D2B301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GLSZM_SZNN</w:t>
            </w:r>
          </w:p>
        </w:tc>
        <w:tc>
          <w:tcPr>
            <w:tcW w:w="2866" w:type="pct"/>
            <w:vAlign w:val="center"/>
            <w:hideMark/>
          </w:tcPr>
          <w:p w14:paraId="5CE1FFC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variability of size zone volumes throughout the image, with a lower value indicating more homogeneity among zone size volumes in the image. This is the normalized version of the SZN formula.</w:t>
            </w:r>
          </w:p>
        </w:tc>
      </w:tr>
      <w:tr w:rsidR="00EF2B67" w:rsidRPr="004F6C6D" w14:paraId="77BDE43A"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67BB7E9" w14:textId="0D16C525"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34B1453"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Zone Percentage (ZP)</w:t>
            </w:r>
          </w:p>
        </w:tc>
        <w:tc>
          <w:tcPr>
            <w:tcW w:w="624" w:type="pct"/>
            <w:vAlign w:val="center"/>
            <w:hideMark/>
          </w:tcPr>
          <w:p w14:paraId="02579437"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 ZP</w:t>
            </w:r>
          </w:p>
        </w:tc>
        <w:tc>
          <w:tcPr>
            <w:tcW w:w="2866" w:type="pct"/>
            <w:vAlign w:val="center"/>
            <w:hideMark/>
          </w:tcPr>
          <w:p w14:paraId="74DDB03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coarseness of the texture by taking the ratio of number of zones and number of voxels in the ROI.</w:t>
            </w:r>
          </w:p>
        </w:tc>
      </w:tr>
      <w:tr w:rsidR="00EF2B67" w:rsidRPr="004F6C6D" w14:paraId="029304FB"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AE98952" w14:textId="3D95C19B"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C45D931"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Gray Level Variance (GLV)</w:t>
            </w:r>
          </w:p>
        </w:tc>
        <w:tc>
          <w:tcPr>
            <w:tcW w:w="624" w:type="pct"/>
            <w:vAlign w:val="center"/>
            <w:hideMark/>
          </w:tcPr>
          <w:p w14:paraId="1EAA14CE"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GLSZM_GLV</w:t>
            </w:r>
          </w:p>
        </w:tc>
        <w:tc>
          <w:tcPr>
            <w:tcW w:w="2866" w:type="pct"/>
            <w:vAlign w:val="center"/>
            <w:hideMark/>
          </w:tcPr>
          <w:p w14:paraId="7DECDACE"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variance in gray level intensities for the zones.</w:t>
            </w:r>
          </w:p>
        </w:tc>
      </w:tr>
      <w:tr w:rsidR="00EF2B67" w:rsidRPr="004F6C6D" w14:paraId="14F2FBC3"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D32B320" w14:textId="353134BF"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D0EB754"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Zone Variance (ZV)</w:t>
            </w:r>
          </w:p>
        </w:tc>
        <w:tc>
          <w:tcPr>
            <w:tcW w:w="624" w:type="pct"/>
            <w:vAlign w:val="center"/>
            <w:hideMark/>
          </w:tcPr>
          <w:p w14:paraId="389C0727"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GLSZM_ZV</w:t>
            </w:r>
          </w:p>
        </w:tc>
        <w:tc>
          <w:tcPr>
            <w:tcW w:w="2866" w:type="pct"/>
            <w:vAlign w:val="center"/>
            <w:hideMark/>
          </w:tcPr>
          <w:p w14:paraId="54CB43C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variance in zone size volumes for the zones.</w:t>
            </w:r>
          </w:p>
        </w:tc>
      </w:tr>
      <w:tr w:rsidR="00EF2B67" w:rsidRPr="004F6C6D" w14:paraId="24932B58"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8B1279B" w14:textId="3BC14A45"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F492EE3"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Zone Entropy (ZE)</w:t>
            </w:r>
          </w:p>
        </w:tc>
        <w:tc>
          <w:tcPr>
            <w:tcW w:w="624" w:type="pct"/>
            <w:vAlign w:val="center"/>
            <w:hideMark/>
          </w:tcPr>
          <w:p w14:paraId="4598A28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GLSZM_ZE</w:t>
            </w:r>
          </w:p>
        </w:tc>
        <w:tc>
          <w:tcPr>
            <w:tcW w:w="2866" w:type="pct"/>
            <w:vAlign w:val="center"/>
            <w:hideMark/>
          </w:tcPr>
          <w:p w14:paraId="0BA06D70"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uncertainty/randomness in the distribution of zone sizes and gray levels. A higher value indicates more heterogeneneity in the texture patterns.</w:t>
            </w:r>
          </w:p>
        </w:tc>
      </w:tr>
      <w:tr w:rsidR="00EF2B67" w:rsidRPr="004F6C6D" w14:paraId="7FDAC131"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CF297A6" w14:textId="014B0C77"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1B09C7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Low Gray Level Zone Emphasis (LGLZE)</w:t>
            </w:r>
          </w:p>
        </w:tc>
        <w:tc>
          <w:tcPr>
            <w:tcW w:w="624" w:type="pct"/>
            <w:vAlign w:val="center"/>
            <w:hideMark/>
          </w:tcPr>
          <w:p w14:paraId="2F70317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GLSZM_LGLZE</w:t>
            </w:r>
          </w:p>
        </w:tc>
        <w:tc>
          <w:tcPr>
            <w:tcW w:w="2866" w:type="pct"/>
            <w:vAlign w:val="center"/>
            <w:hideMark/>
          </w:tcPr>
          <w:p w14:paraId="7E25813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distribution of lower gray-level size zones, with a higher value indicating a greater proportion of lower gray-level values and size zones in the image.</w:t>
            </w:r>
          </w:p>
        </w:tc>
      </w:tr>
      <w:tr w:rsidR="00EF2B67" w:rsidRPr="004F6C6D" w14:paraId="67A91115"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6326712" w14:textId="3729EB13"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6A8D12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High Gray Level Zone Emphasis (HGLZE)</w:t>
            </w:r>
          </w:p>
        </w:tc>
        <w:tc>
          <w:tcPr>
            <w:tcW w:w="624" w:type="pct"/>
            <w:vAlign w:val="center"/>
            <w:hideMark/>
          </w:tcPr>
          <w:p w14:paraId="256D17DE"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GLSZM_HGLZE</w:t>
            </w:r>
          </w:p>
        </w:tc>
        <w:tc>
          <w:tcPr>
            <w:tcW w:w="2866" w:type="pct"/>
            <w:vAlign w:val="center"/>
            <w:hideMark/>
          </w:tcPr>
          <w:p w14:paraId="653970C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distribution of the higher gray-level values, with a higher value indicating a greater proportion of higher gray-level values and size zones in the image.</w:t>
            </w:r>
          </w:p>
        </w:tc>
      </w:tr>
      <w:tr w:rsidR="00EF2B67" w:rsidRPr="004F6C6D" w14:paraId="35AF6389"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C013DB3" w14:textId="5E2C1A6F"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6A8EB86"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Small Area Low Gray Level Emphasis (SALGLE)</w:t>
            </w:r>
          </w:p>
        </w:tc>
        <w:tc>
          <w:tcPr>
            <w:tcW w:w="624" w:type="pct"/>
            <w:vAlign w:val="center"/>
            <w:hideMark/>
          </w:tcPr>
          <w:p w14:paraId="096031F3"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GLSZM_SALGLE</w:t>
            </w:r>
          </w:p>
        </w:tc>
        <w:tc>
          <w:tcPr>
            <w:tcW w:w="2866" w:type="pct"/>
            <w:vAlign w:val="center"/>
            <w:hideMark/>
          </w:tcPr>
          <w:p w14:paraId="4A68E894"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proportion in the image of the joint distribution of smaller size zones with lower gray-level values.</w:t>
            </w:r>
          </w:p>
        </w:tc>
      </w:tr>
      <w:tr w:rsidR="00EF2B67" w:rsidRPr="004F6C6D" w14:paraId="7FBA009C"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48A5C95" w14:textId="5CFEF428"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B0E837D"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Small Area High Gray Level Emphasis (SAHGLE)</w:t>
            </w:r>
          </w:p>
        </w:tc>
        <w:tc>
          <w:tcPr>
            <w:tcW w:w="624" w:type="pct"/>
            <w:vAlign w:val="center"/>
            <w:hideMark/>
          </w:tcPr>
          <w:p w14:paraId="26D73791"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GLSZM_SAHGLE</w:t>
            </w:r>
          </w:p>
        </w:tc>
        <w:tc>
          <w:tcPr>
            <w:tcW w:w="2866" w:type="pct"/>
            <w:vAlign w:val="center"/>
            <w:hideMark/>
          </w:tcPr>
          <w:p w14:paraId="297B7165"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proportion in the image of the joint distribution of smaller size zones with higher gray-level values.</w:t>
            </w:r>
          </w:p>
        </w:tc>
      </w:tr>
      <w:tr w:rsidR="00EF2B67" w:rsidRPr="004F6C6D" w14:paraId="19C9DE40"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DB66778" w14:textId="3BE98896"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9AC37B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Large Area Low Gray Level Emphasis (LALGLE)</w:t>
            </w:r>
          </w:p>
        </w:tc>
        <w:tc>
          <w:tcPr>
            <w:tcW w:w="624" w:type="pct"/>
            <w:vAlign w:val="center"/>
            <w:hideMark/>
          </w:tcPr>
          <w:p w14:paraId="5EE342FF"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GLSZM_LALGLE</w:t>
            </w:r>
          </w:p>
        </w:tc>
        <w:tc>
          <w:tcPr>
            <w:tcW w:w="2866" w:type="pct"/>
            <w:vAlign w:val="center"/>
            <w:hideMark/>
          </w:tcPr>
          <w:p w14:paraId="4F8E1BB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proportion in the image of the joint distribution of larger size zones with lower gray-level values.</w:t>
            </w:r>
          </w:p>
        </w:tc>
      </w:tr>
      <w:tr w:rsidR="00EF2B67" w:rsidRPr="004F6C6D" w14:paraId="173BD1B0"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05FFB83" w14:textId="0929A51B"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2D40CE9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Large Area High Gray Level Emphasis (LAHGLE)</w:t>
            </w:r>
          </w:p>
        </w:tc>
        <w:tc>
          <w:tcPr>
            <w:tcW w:w="624" w:type="pct"/>
            <w:vAlign w:val="center"/>
            <w:hideMark/>
          </w:tcPr>
          <w:p w14:paraId="2A43712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GLSZM_LAHGLE</w:t>
            </w:r>
          </w:p>
        </w:tc>
        <w:tc>
          <w:tcPr>
            <w:tcW w:w="2866" w:type="pct"/>
            <w:vAlign w:val="center"/>
            <w:hideMark/>
          </w:tcPr>
          <w:p w14:paraId="78595C6E"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proportion in the image of the joint distribution of larger size zones with higher gray-level values.</w:t>
            </w:r>
          </w:p>
        </w:tc>
      </w:tr>
      <w:tr w:rsidR="00EF2B67" w:rsidRPr="004F6C6D" w14:paraId="03A72B54"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restart"/>
            <w:vAlign w:val="center"/>
            <w:hideMark/>
          </w:tcPr>
          <w:p w14:paraId="6CE80BCD" w14:textId="77777777" w:rsidR="00EF2B67" w:rsidRPr="004F6C6D" w:rsidRDefault="00EF2B67" w:rsidP="00EF2B67">
            <w:pPr>
              <w:jc w:val="center"/>
              <w:rPr>
                <w:rFonts w:asciiTheme="majorBidi" w:hAnsiTheme="majorBidi" w:cstheme="majorBidi"/>
                <w:color w:val="000000"/>
                <w:sz w:val="16"/>
                <w:szCs w:val="16"/>
              </w:rPr>
            </w:pPr>
            <w:r w:rsidRPr="004F6C6D">
              <w:rPr>
                <w:rFonts w:asciiTheme="majorBidi" w:hAnsiTheme="majorBidi" w:cstheme="majorBidi"/>
                <w:b w:val="0"/>
                <w:bCs w:val="0"/>
                <w:color w:val="000000"/>
                <w:sz w:val="16"/>
                <w:szCs w:val="16"/>
              </w:rPr>
              <w:t>Gray Level Run Length Matrix (GLRLM) Features</w:t>
            </w:r>
          </w:p>
        </w:tc>
        <w:tc>
          <w:tcPr>
            <w:tcW w:w="902" w:type="pct"/>
            <w:vAlign w:val="center"/>
            <w:hideMark/>
          </w:tcPr>
          <w:p w14:paraId="1D19A086"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Short Run Emphasis (SRE)</w:t>
            </w:r>
          </w:p>
        </w:tc>
        <w:tc>
          <w:tcPr>
            <w:tcW w:w="624" w:type="pct"/>
            <w:vAlign w:val="center"/>
            <w:hideMark/>
          </w:tcPr>
          <w:p w14:paraId="7B30017A"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GLRLM_SRE</w:t>
            </w:r>
          </w:p>
        </w:tc>
        <w:tc>
          <w:tcPr>
            <w:tcW w:w="2866" w:type="pct"/>
            <w:vAlign w:val="center"/>
            <w:hideMark/>
          </w:tcPr>
          <w:p w14:paraId="7BB5AC7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distribution of short run lengths, with a greater value indicative of shorter run lengths and more fine textural textures.</w:t>
            </w:r>
          </w:p>
        </w:tc>
      </w:tr>
      <w:tr w:rsidR="00EF2B67" w:rsidRPr="004F6C6D" w14:paraId="5AD5B810"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F35E8FE" w14:textId="1DAFC2A5"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23829F3"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Long Run Emphasis (LRE)</w:t>
            </w:r>
          </w:p>
        </w:tc>
        <w:tc>
          <w:tcPr>
            <w:tcW w:w="624" w:type="pct"/>
            <w:vAlign w:val="center"/>
            <w:hideMark/>
          </w:tcPr>
          <w:p w14:paraId="0FAE024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GLRLM_LRE</w:t>
            </w:r>
          </w:p>
        </w:tc>
        <w:tc>
          <w:tcPr>
            <w:tcW w:w="2866" w:type="pct"/>
            <w:vAlign w:val="center"/>
            <w:hideMark/>
          </w:tcPr>
          <w:p w14:paraId="219B3890"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distribution of long run lengths, with a greater value indicative of longer run lengths and more coarse structural textures.</w:t>
            </w:r>
          </w:p>
        </w:tc>
      </w:tr>
      <w:tr w:rsidR="00EF2B67" w:rsidRPr="004F6C6D" w14:paraId="5D31E8B3"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4033027" w14:textId="7ACAF281"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95B290E"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Gray Level Non-Uniformity (GLN)</w:t>
            </w:r>
          </w:p>
        </w:tc>
        <w:tc>
          <w:tcPr>
            <w:tcW w:w="624" w:type="pct"/>
            <w:vAlign w:val="center"/>
            <w:hideMark/>
          </w:tcPr>
          <w:p w14:paraId="5942AC3E"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GLRLM_GLN</w:t>
            </w:r>
          </w:p>
        </w:tc>
        <w:tc>
          <w:tcPr>
            <w:tcW w:w="2866" w:type="pct"/>
            <w:vAlign w:val="center"/>
            <w:hideMark/>
          </w:tcPr>
          <w:p w14:paraId="6DD69C2A"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similarity of gray-level intensity values in the image, where a lower GLN value correlates with a greater similarity in intensity values.</w:t>
            </w:r>
          </w:p>
        </w:tc>
      </w:tr>
      <w:tr w:rsidR="00EF2B67" w:rsidRPr="004F6C6D" w14:paraId="47DE188C"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EB8F504" w14:textId="56C63267"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89C7A0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Gray Level Non-Uniformity Normalized (GLNN)</w:t>
            </w:r>
          </w:p>
        </w:tc>
        <w:tc>
          <w:tcPr>
            <w:tcW w:w="624" w:type="pct"/>
            <w:vAlign w:val="center"/>
            <w:hideMark/>
          </w:tcPr>
          <w:p w14:paraId="260388F6"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GLRLM_GLNN</w:t>
            </w:r>
          </w:p>
        </w:tc>
        <w:tc>
          <w:tcPr>
            <w:tcW w:w="2866" w:type="pct"/>
            <w:vAlign w:val="center"/>
            <w:hideMark/>
          </w:tcPr>
          <w:p w14:paraId="70AA146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similarity of gray-level intensity values in the image, where a lower GLNN value correlates with a greater similarity in intensity values. This is the normalized version of the GLN formula.</w:t>
            </w:r>
          </w:p>
        </w:tc>
      </w:tr>
      <w:tr w:rsidR="00EF2B67" w:rsidRPr="004F6C6D" w14:paraId="1CA80E2F"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E609E3C" w14:textId="0C8876B5"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BA3227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Run Length Non-Uniformity (RLN)</w:t>
            </w:r>
          </w:p>
        </w:tc>
        <w:tc>
          <w:tcPr>
            <w:tcW w:w="624" w:type="pct"/>
            <w:vAlign w:val="center"/>
            <w:hideMark/>
          </w:tcPr>
          <w:p w14:paraId="4C6CF6D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GLRLM_RLN</w:t>
            </w:r>
          </w:p>
        </w:tc>
        <w:tc>
          <w:tcPr>
            <w:tcW w:w="2866" w:type="pct"/>
            <w:vAlign w:val="center"/>
            <w:hideMark/>
          </w:tcPr>
          <w:p w14:paraId="0B46228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similarity of run lengths throughout the image, with a lower value indicating more homogeneity among run lengths in the image.</w:t>
            </w:r>
          </w:p>
        </w:tc>
      </w:tr>
      <w:tr w:rsidR="00EF2B67" w:rsidRPr="004F6C6D" w14:paraId="48EDA137"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634D2D3" w14:textId="6A3EB6B2"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388D9DE"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Run Length Non-Uniformity Normalized (RLNN)</w:t>
            </w:r>
          </w:p>
        </w:tc>
        <w:tc>
          <w:tcPr>
            <w:tcW w:w="624" w:type="pct"/>
            <w:vAlign w:val="center"/>
            <w:hideMark/>
          </w:tcPr>
          <w:p w14:paraId="141B052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GLRLM_RLNN</w:t>
            </w:r>
          </w:p>
        </w:tc>
        <w:tc>
          <w:tcPr>
            <w:tcW w:w="2866" w:type="pct"/>
            <w:vAlign w:val="center"/>
            <w:hideMark/>
          </w:tcPr>
          <w:p w14:paraId="6BA2358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similarity of run lengths throughout the image, with a lower value indicating more homogeneity among run lengths in the image. This is the normalized version of the RLN formula.</w:t>
            </w:r>
          </w:p>
        </w:tc>
      </w:tr>
      <w:tr w:rsidR="00EF2B67" w:rsidRPr="004F6C6D" w14:paraId="4DDDFAE1"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F4E94F8" w14:textId="02F3CCAB"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4B5CDB3"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Run Percentage (RP)</w:t>
            </w:r>
          </w:p>
        </w:tc>
        <w:tc>
          <w:tcPr>
            <w:tcW w:w="624" w:type="pct"/>
            <w:vAlign w:val="center"/>
            <w:hideMark/>
          </w:tcPr>
          <w:p w14:paraId="2DA1438A"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GLRLM_RP</w:t>
            </w:r>
          </w:p>
        </w:tc>
        <w:tc>
          <w:tcPr>
            <w:tcW w:w="2866" w:type="pct"/>
            <w:vAlign w:val="center"/>
            <w:hideMark/>
          </w:tcPr>
          <w:p w14:paraId="1EA8D41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coarseness of the texture by taking the ratio of number of runs and number of voxels in the ROI.</w:t>
            </w:r>
          </w:p>
        </w:tc>
      </w:tr>
      <w:tr w:rsidR="00EF2B67" w:rsidRPr="004F6C6D" w14:paraId="6C17482A"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7EE793B" w14:textId="5DFF7537"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2ADB10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Gray Level Variance (GLV)</w:t>
            </w:r>
          </w:p>
        </w:tc>
        <w:tc>
          <w:tcPr>
            <w:tcW w:w="624" w:type="pct"/>
            <w:vAlign w:val="center"/>
            <w:hideMark/>
          </w:tcPr>
          <w:p w14:paraId="0C6E8A7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GLRLM_GLV</w:t>
            </w:r>
          </w:p>
        </w:tc>
        <w:tc>
          <w:tcPr>
            <w:tcW w:w="2866" w:type="pct"/>
            <w:vAlign w:val="center"/>
            <w:hideMark/>
          </w:tcPr>
          <w:p w14:paraId="07C35818"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variance in gray level intensity for the runs.</w:t>
            </w:r>
          </w:p>
        </w:tc>
      </w:tr>
      <w:tr w:rsidR="00EF2B67" w:rsidRPr="004F6C6D" w14:paraId="116EF98A"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4385CFB" w14:textId="2C40A88F"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153EE6A"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Run Variance (RV)</w:t>
            </w:r>
          </w:p>
        </w:tc>
        <w:tc>
          <w:tcPr>
            <w:tcW w:w="624" w:type="pct"/>
            <w:vAlign w:val="center"/>
            <w:hideMark/>
          </w:tcPr>
          <w:p w14:paraId="5BEE1B3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GLRLM_RV</w:t>
            </w:r>
          </w:p>
        </w:tc>
        <w:tc>
          <w:tcPr>
            <w:tcW w:w="2866" w:type="pct"/>
            <w:vAlign w:val="center"/>
            <w:hideMark/>
          </w:tcPr>
          <w:p w14:paraId="589619F7"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variance in runs for the run lengths.</w:t>
            </w:r>
          </w:p>
        </w:tc>
      </w:tr>
      <w:tr w:rsidR="00EF2B67" w:rsidRPr="004F6C6D" w14:paraId="39980C78"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967F0AE" w14:textId="478F3DCE"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3894356"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Run Entropy (REn)</w:t>
            </w:r>
          </w:p>
        </w:tc>
        <w:tc>
          <w:tcPr>
            <w:tcW w:w="624" w:type="pct"/>
            <w:vAlign w:val="center"/>
            <w:hideMark/>
          </w:tcPr>
          <w:p w14:paraId="53E92B4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GLRLM_REn</w:t>
            </w:r>
          </w:p>
        </w:tc>
        <w:tc>
          <w:tcPr>
            <w:tcW w:w="2866" w:type="pct"/>
            <w:vAlign w:val="center"/>
            <w:hideMark/>
          </w:tcPr>
          <w:p w14:paraId="332F5336"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uncertainty/randomness in the distribution of run lengths and gray levels. A higher value indicates more heterogeneity in the texture patterns.</w:t>
            </w:r>
          </w:p>
        </w:tc>
      </w:tr>
      <w:tr w:rsidR="00EF2B67" w:rsidRPr="004F6C6D" w14:paraId="75BCB44A"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92326DF" w14:textId="5D42E917"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496F33A"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Low Gray Level Run Emphasis (LGLRE)</w:t>
            </w:r>
          </w:p>
        </w:tc>
        <w:tc>
          <w:tcPr>
            <w:tcW w:w="624" w:type="pct"/>
            <w:vAlign w:val="center"/>
            <w:hideMark/>
          </w:tcPr>
          <w:p w14:paraId="5DFDFD7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GLRLM_LGLRE</w:t>
            </w:r>
          </w:p>
        </w:tc>
        <w:tc>
          <w:tcPr>
            <w:tcW w:w="2866" w:type="pct"/>
            <w:vAlign w:val="center"/>
            <w:hideMark/>
          </w:tcPr>
          <w:p w14:paraId="73F0BE2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distribution of low gray-level values, with a higher value indicating a greater concentration of low gray-level values in the image.</w:t>
            </w:r>
          </w:p>
        </w:tc>
      </w:tr>
      <w:tr w:rsidR="00EF2B67" w:rsidRPr="004F6C6D" w14:paraId="06E91120"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35D62F5" w14:textId="6AF50EB7"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0AA3663"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High Gray Level Run Emphasis (HGLRE)</w:t>
            </w:r>
          </w:p>
        </w:tc>
        <w:tc>
          <w:tcPr>
            <w:tcW w:w="624" w:type="pct"/>
            <w:vAlign w:val="center"/>
            <w:hideMark/>
          </w:tcPr>
          <w:p w14:paraId="6CF51E39"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GLRLM_HGLRE</w:t>
            </w:r>
          </w:p>
        </w:tc>
        <w:tc>
          <w:tcPr>
            <w:tcW w:w="2866" w:type="pct"/>
            <w:vAlign w:val="center"/>
            <w:hideMark/>
          </w:tcPr>
          <w:p w14:paraId="12955BA2"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distribution of the higher gray-level values, with a higher value indicating a greater concentration of high gray-level values in the image.</w:t>
            </w:r>
          </w:p>
        </w:tc>
      </w:tr>
      <w:tr w:rsidR="00EF2B67" w:rsidRPr="004F6C6D" w14:paraId="7A96761D"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6429FBD" w14:textId="564269E1"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34F6E87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Short Run Low Gray Level Emphasis (SRLGLE)</w:t>
            </w:r>
          </w:p>
        </w:tc>
        <w:tc>
          <w:tcPr>
            <w:tcW w:w="624" w:type="pct"/>
            <w:vAlign w:val="center"/>
            <w:hideMark/>
          </w:tcPr>
          <w:p w14:paraId="7F409F53"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GLRLM_SRLGLE</w:t>
            </w:r>
          </w:p>
        </w:tc>
        <w:tc>
          <w:tcPr>
            <w:tcW w:w="2866" w:type="pct"/>
            <w:vAlign w:val="center"/>
            <w:hideMark/>
          </w:tcPr>
          <w:p w14:paraId="6D2D36A6"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joint distribution of shorter run lengths with lower gray-level values.</w:t>
            </w:r>
          </w:p>
        </w:tc>
      </w:tr>
      <w:tr w:rsidR="00EF2B67" w:rsidRPr="004F6C6D" w14:paraId="2968D74D"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93E2174" w14:textId="4CE4D00D"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F966722"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Short Run High Gray Level Emphasis (SRHGLE)</w:t>
            </w:r>
          </w:p>
        </w:tc>
        <w:tc>
          <w:tcPr>
            <w:tcW w:w="624" w:type="pct"/>
            <w:vAlign w:val="center"/>
            <w:hideMark/>
          </w:tcPr>
          <w:p w14:paraId="27FF7744"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GLRLM_SRHGLE</w:t>
            </w:r>
          </w:p>
        </w:tc>
        <w:tc>
          <w:tcPr>
            <w:tcW w:w="2866" w:type="pct"/>
            <w:vAlign w:val="center"/>
            <w:hideMark/>
          </w:tcPr>
          <w:p w14:paraId="0E8F4578"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joint distribution of shorter run lengths with higher gray-level values.</w:t>
            </w:r>
          </w:p>
        </w:tc>
      </w:tr>
      <w:tr w:rsidR="00EF2B67" w:rsidRPr="004F6C6D" w14:paraId="6A7402AA"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6185C1F" w14:textId="010E7179"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F92DF1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Long Run Low Gray Level Emphasis (LRLGLE)</w:t>
            </w:r>
          </w:p>
        </w:tc>
        <w:tc>
          <w:tcPr>
            <w:tcW w:w="624" w:type="pct"/>
            <w:vAlign w:val="center"/>
            <w:hideMark/>
          </w:tcPr>
          <w:p w14:paraId="20862AD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GLRLM_LRLGLE</w:t>
            </w:r>
          </w:p>
        </w:tc>
        <w:tc>
          <w:tcPr>
            <w:tcW w:w="2866" w:type="pct"/>
            <w:vAlign w:val="center"/>
            <w:hideMark/>
          </w:tcPr>
          <w:p w14:paraId="562527C8"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joint distribution of long run lengths with lower gray-level values.</w:t>
            </w:r>
          </w:p>
        </w:tc>
      </w:tr>
      <w:tr w:rsidR="00EF2B67" w:rsidRPr="004F6C6D" w14:paraId="27C8F020"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F9719E2" w14:textId="2223CDE8"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2C8E30B"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Long Run High Gray Level Emphasis (LRHGLE)</w:t>
            </w:r>
          </w:p>
        </w:tc>
        <w:tc>
          <w:tcPr>
            <w:tcW w:w="624" w:type="pct"/>
            <w:vAlign w:val="center"/>
            <w:hideMark/>
          </w:tcPr>
          <w:p w14:paraId="4FBB0512"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GLRLM_LRHGLE</w:t>
            </w:r>
          </w:p>
        </w:tc>
        <w:tc>
          <w:tcPr>
            <w:tcW w:w="2866" w:type="pct"/>
            <w:vAlign w:val="center"/>
            <w:hideMark/>
          </w:tcPr>
          <w:p w14:paraId="54BE68D7"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joint distribution of long run lengths with higher gray-level values.</w:t>
            </w:r>
          </w:p>
        </w:tc>
      </w:tr>
      <w:tr w:rsidR="00EF2B67" w:rsidRPr="004F6C6D" w14:paraId="7D14CE59"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restart"/>
            <w:vAlign w:val="center"/>
            <w:hideMark/>
          </w:tcPr>
          <w:p w14:paraId="62B0C44E" w14:textId="77777777" w:rsidR="00EF2B67" w:rsidRPr="004F6C6D" w:rsidRDefault="00EF2B67" w:rsidP="00EF2B67">
            <w:pPr>
              <w:jc w:val="center"/>
              <w:rPr>
                <w:rFonts w:asciiTheme="majorBidi" w:hAnsiTheme="majorBidi" w:cstheme="majorBidi"/>
                <w:color w:val="000000"/>
                <w:sz w:val="16"/>
                <w:szCs w:val="16"/>
              </w:rPr>
            </w:pPr>
            <w:r w:rsidRPr="004F6C6D">
              <w:rPr>
                <w:rFonts w:asciiTheme="majorBidi" w:hAnsiTheme="majorBidi" w:cstheme="majorBidi"/>
                <w:b w:val="0"/>
                <w:bCs w:val="0"/>
                <w:color w:val="000000"/>
                <w:sz w:val="16"/>
                <w:szCs w:val="16"/>
              </w:rPr>
              <w:t>Neighbouring Gray Tone Difference Matrix (NGTDM) Features</w:t>
            </w:r>
          </w:p>
        </w:tc>
        <w:tc>
          <w:tcPr>
            <w:tcW w:w="902" w:type="pct"/>
            <w:vAlign w:val="center"/>
            <w:hideMark/>
          </w:tcPr>
          <w:p w14:paraId="3267C58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Coarseness (Coar)</w:t>
            </w:r>
          </w:p>
        </w:tc>
        <w:tc>
          <w:tcPr>
            <w:tcW w:w="624" w:type="pct"/>
            <w:vAlign w:val="center"/>
            <w:hideMark/>
          </w:tcPr>
          <w:p w14:paraId="52114958"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NGTDM_Coar</w:t>
            </w:r>
          </w:p>
        </w:tc>
        <w:tc>
          <w:tcPr>
            <w:tcW w:w="2866" w:type="pct"/>
            <w:vAlign w:val="center"/>
            <w:hideMark/>
          </w:tcPr>
          <w:p w14:paraId="7C37A07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average difference between the center voxel and its neighbourhood and is an indication of the spatial rate of change. A higher value indicates a lower spatial change rate and a locally more uniform texture.</w:t>
            </w:r>
          </w:p>
        </w:tc>
      </w:tr>
      <w:tr w:rsidR="00EF2B67" w:rsidRPr="004F6C6D" w14:paraId="11409F1E"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23D1E9A" w14:textId="529EF16F"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DCBAD93"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Contrast (Con)</w:t>
            </w:r>
          </w:p>
        </w:tc>
        <w:tc>
          <w:tcPr>
            <w:tcW w:w="624" w:type="pct"/>
            <w:vAlign w:val="center"/>
            <w:hideMark/>
          </w:tcPr>
          <w:p w14:paraId="29CE99A6"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NGTDM_Con</w:t>
            </w:r>
          </w:p>
        </w:tc>
        <w:tc>
          <w:tcPr>
            <w:tcW w:w="2866" w:type="pct"/>
            <w:vAlign w:val="center"/>
            <w:hideMark/>
          </w:tcPr>
          <w:p w14:paraId="75E94673"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spatial intensity change, but is also dependent on the overall gray-level dynamic range. Contrast is high when both the dynamic range and the spatial change rate are high, i.e. an image with a large range of gray-levels, with large changes between voxels and their neighbourhood.</w:t>
            </w:r>
          </w:p>
        </w:tc>
      </w:tr>
      <w:tr w:rsidR="00EF2B67" w:rsidRPr="004F6C6D" w14:paraId="14BBC0F2"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725069B" w14:textId="36A0FE7D"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27B57C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Busyness (B)</w:t>
            </w:r>
          </w:p>
        </w:tc>
        <w:tc>
          <w:tcPr>
            <w:tcW w:w="624" w:type="pct"/>
            <w:vAlign w:val="center"/>
            <w:hideMark/>
          </w:tcPr>
          <w:p w14:paraId="30E4381A"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NGTDM_B</w:t>
            </w:r>
          </w:p>
        </w:tc>
        <w:tc>
          <w:tcPr>
            <w:tcW w:w="2866" w:type="pct"/>
            <w:vAlign w:val="center"/>
            <w:hideMark/>
          </w:tcPr>
          <w:p w14:paraId="3E49151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change from a pixel to its neighbour. A high value for busyness indicates a ‘busy’ image, with rapid changes of intensity between pixels and its neighbourhood.</w:t>
            </w:r>
          </w:p>
        </w:tc>
      </w:tr>
      <w:tr w:rsidR="00EF2B67" w:rsidRPr="004F6C6D" w14:paraId="7AE75230"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1E5BB5D" w14:textId="594FC465"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551A225"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Complexity (Comp)</w:t>
            </w:r>
          </w:p>
        </w:tc>
        <w:tc>
          <w:tcPr>
            <w:tcW w:w="624" w:type="pct"/>
            <w:vAlign w:val="center"/>
            <w:hideMark/>
          </w:tcPr>
          <w:p w14:paraId="07C64A9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NGTDM_Comp</w:t>
            </w:r>
          </w:p>
        </w:tc>
        <w:tc>
          <w:tcPr>
            <w:tcW w:w="2866" w:type="pct"/>
            <w:vAlign w:val="center"/>
            <w:hideMark/>
          </w:tcPr>
          <w:p w14:paraId="5D28A24D"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An image is considered complex when there are many primitive components in the image, i.e. the image is non-uniform and there are many rapid changes in gray-level intensity.</w:t>
            </w:r>
          </w:p>
        </w:tc>
      </w:tr>
      <w:tr w:rsidR="00EF2B67" w:rsidRPr="004F6C6D" w14:paraId="36DC051F"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749030F" w14:textId="642E3F5D"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67072772"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Strength (S)</w:t>
            </w:r>
          </w:p>
        </w:tc>
        <w:tc>
          <w:tcPr>
            <w:tcW w:w="624" w:type="pct"/>
            <w:vAlign w:val="center"/>
            <w:hideMark/>
          </w:tcPr>
          <w:p w14:paraId="188127D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NGTDM_S</w:t>
            </w:r>
          </w:p>
        </w:tc>
        <w:tc>
          <w:tcPr>
            <w:tcW w:w="2866" w:type="pct"/>
            <w:vAlign w:val="center"/>
            <w:hideMark/>
          </w:tcPr>
          <w:p w14:paraId="2DE149E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primitives in an image. Its value is high when the primitives are easily defined and visible, i.e. an image with slow change in intensity but more large coarse differences in gray level intensities.</w:t>
            </w:r>
          </w:p>
        </w:tc>
      </w:tr>
      <w:tr w:rsidR="00EF2B67" w:rsidRPr="004F6C6D" w14:paraId="4F36A6D2"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restart"/>
            <w:vAlign w:val="center"/>
            <w:hideMark/>
          </w:tcPr>
          <w:p w14:paraId="31BD3B92" w14:textId="77777777" w:rsidR="00EF2B67" w:rsidRPr="004F6C6D" w:rsidRDefault="00EF2B67" w:rsidP="00EF2B67">
            <w:pPr>
              <w:jc w:val="center"/>
              <w:rPr>
                <w:rFonts w:asciiTheme="majorBidi" w:hAnsiTheme="majorBidi" w:cstheme="majorBidi"/>
                <w:color w:val="000000"/>
                <w:sz w:val="16"/>
                <w:szCs w:val="16"/>
              </w:rPr>
            </w:pPr>
            <w:r w:rsidRPr="004F6C6D">
              <w:rPr>
                <w:rFonts w:asciiTheme="majorBidi" w:hAnsiTheme="majorBidi" w:cstheme="majorBidi"/>
                <w:b w:val="0"/>
                <w:bCs w:val="0"/>
                <w:color w:val="000000"/>
                <w:sz w:val="16"/>
                <w:szCs w:val="16"/>
              </w:rPr>
              <w:t>Gray Level Dependence Matrix (GLDM) Features</w:t>
            </w:r>
          </w:p>
        </w:tc>
        <w:tc>
          <w:tcPr>
            <w:tcW w:w="902" w:type="pct"/>
            <w:vAlign w:val="center"/>
            <w:hideMark/>
          </w:tcPr>
          <w:p w14:paraId="43A32A8D"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Small Dependence Emphasis (SDE)</w:t>
            </w:r>
          </w:p>
        </w:tc>
        <w:tc>
          <w:tcPr>
            <w:tcW w:w="624" w:type="pct"/>
            <w:vAlign w:val="center"/>
            <w:hideMark/>
          </w:tcPr>
          <w:p w14:paraId="65A44D3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GLDM_SDE</w:t>
            </w:r>
          </w:p>
        </w:tc>
        <w:tc>
          <w:tcPr>
            <w:tcW w:w="2866" w:type="pct"/>
            <w:vAlign w:val="center"/>
            <w:hideMark/>
          </w:tcPr>
          <w:p w14:paraId="6B34448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distribution of small dependencies, with a greater value indicative of smaller dependence and less homogeneous textures.</w:t>
            </w:r>
          </w:p>
        </w:tc>
      </w:tr>
      <w:tr w:rsidR="00EF2B67" w:rsidRPr="004F6C6D" w14:paraId="531EBE59"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7EAA98C8" w14:textId="5D41C978"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1B4305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Large Dependence Emphasis (LDE)</w:t>
            </w:r>
          </w:p>
        </w:tc>
        <w:tc>
          <w:tcPr>
            <w:tcW w:w="624" w:type="pct"/>
            <w:vAlign w:val="center"/>
            <w:hideMark/>
          </w:tcPr>
          <w:p w14:paraId="28AF1A8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GLDM_LDE</w:t>
            </w:r>
          </w:p>
        </w:tc>
        <w:tc>
          <w:tcPr>
            <w:tcW w:w="2866" w:type="pct"/>
            <w:vAlign w:val="center"/>
            <w:hideMark/>
          </w:tcPr>
          <w:p w14:paraId="60987072"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A measure of the distribution of large dependencies, with a greater value indicative of larger dependence and more homogeneous textures.</w:t>
            </w:r>
          </w:p>
        </w:tc>
      </w:tr>
      <w:tr w:rsidR="00EF2B67" w:rsidRPr="004F6C6D" w14:paraId="6A9D965A"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5D793C9D" w14:textId="3FDAF602"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0F173C8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Gray Level Non-Uniformity (GLN)</w:t>
            </w:r>
          </w:p>
        </w:tc>
        <w:tc>
          <w:tcPr>
            <w:tcW w:w="624" w:type="pct"/>
            <w:vAlign w:val="center"/>
            <w:hideMark/>
          </w:tcPr>
          <w:p w14:paraId="097A2405"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GLDM_GLN</w:t>
            </w:r>
          </w:p>
        </w:tc>
        <w:tc>
          <w:tcPr>
            <w:tcW w:w="2866" w:type="pct"/>
            <w:vAlign w:val="center"/>
            <w:hideMark/>
          </w:tcPr>
          <w:p w14:paraId="2DC49BE6"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similarity of gray-level intensity values in the image, where a lower GLN value correlates with a greater similarity in intensity values.</w:t>
            </w:r>
          </w:p>
        </w:tc>
      </w:tr>
      <w:tr w:rsidR="00EF2B67" w:rsidRPr="004F6C6D" w14:paraId="1732990C"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3A9DE5B2" w14:textId="4E1C7667"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6819FD3"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Dependence Non-Uniformity (DN)</w:t>
            </w:r>
          </w:p>
        </w:tc>
        <w:tc>
          <w:tcPr>
            <w:tcW w:w="624" w:type="pct"/>
            <w:vAlign w:val="center"/>
            <w:hideMark/>
          </w:tcPr>
          <w:p w14:paraId="45DD4A67"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GLDM_DN</w:t>
            </w:r>
          </w:p>
        </w:tc>
        <w:tc>
          <w:tcPr>
            <w:tcW w:w="2866" w:type="pct"/>
            <w:vAlign w:val="center"/>
            <w:hideMark/>
          </w:tcPr>
          <w:p w14:paraId="557C28B5"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similarity of dependence throughout the image, with a lower value indicating more homogeneity among dependencies in the image.</w:t>
            </w:r>
          </w:p>
        </w:tc>
      </w:tr>
      <w:tr w:rsidR="00EF2B67" w:rsidRPr="004F6C6D" w14:paraId="20A15C71"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0B262D6A" w14:textId="34F738CB"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2A8FCF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Dependence Non-Uniformity Normalized (DNN)</w:t>
            </w:r>
          </w:p>
        </w:tc>
        <w:tc>
          <w:tcPr>
            <w:tcW w:w="624" w:type="pct"/>
            <w:vAlign w:val="center"/>
            <w:hideMark/>
          </w:tcPr>
          <w:p w14:paraId="37FE9309"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GLDM_DNN</w:t>
            </w:r>
          </w:p>
        </w:tc>
        <w:tc>
          <w:tcPr>
            <w:tcW w:w="2866" w:type="pct"/>
            <w:vAlign w:val="center"/>
            <w:hideMark/>
          </w:tcPr>
          <w:p w14:paraId="3C5B964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similarity of dependence throughout the image, with a lower value indicating more homogeneity among dependencies in the image. This is the normalized version of the DLN formula.</w:t>
            </w:r>
          </w:p>
        </w:tc>
      </w:tr>
      <w:tr w:rsidR="00EF2B67" w:rsidRPr="004F6C6D" w14:paraId="59658D1A"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964206F" w14:textId="0B4A8264"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13D23CE"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Gray Level Variance (GLV)</w:t>
            </w:r>
          </w:p>
        </w:tc>
        <w:tc>
          <w:tcPr>
            <w:tcW w:w="624" w:type="pct"/>
            <w:vAlign w:val="center"/>
            <w:hideMark/>
          </w:tcPr>
          <w:p w14:paraId="61937BBD"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GLDM_GLV</w:t>
            </w:r>
          </w:p>
        </w:tc>
        <w:tc>
          <w:tcPr>
            <w:tcW w:w="2866" w:type="pct"/>
            <w:vAlign w:val="center"/>
            <w:hideMark/>
          </w:tcPr>
          <w:p w14:paraId="71FEDCB2"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variance in grey level in the image.</w:t>
            </w:r>
          </w:p>
        </w:tc>
      </w:tr>
      <w:tr w:rsidR="00EF2B67" w:rsidRPr="004F6C6D" w14:paraId="1ADA7A38"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7E302A0" w14:textId="4478E41C"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AE88858"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Dependence Variance (DV)</w:t>
            </w:r>
          </w:p>
        </w:tc>
        <w:tc>
          <w:tcPr>
            <w:tcW w:w="624" w:type="pct"/>
            <w:vAlign w:val="center"/>
            <w:hideMark/>
          </w:tcPr>
          <w:p w14:paraId="55C3781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GLDM_DV</w:t>
            </w:r>
          </w:p>
        </w:tc>
        <w:tc>
          <w:tcPr>
            <w:tcW w:w="2866" w:type="pct"/>
            <w:vAlign w:val="center"/>
            <w:hideMark/>
          </w:tcPr>
          <w:p w14:paraId="46E35902"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variance in dependence size in the image.</w:t>
            </w:r>
          </w:p>
        </w:tc>
      </w:tr>
      <w:tr w:rsidR="00EF2B67" w:rsidRPr="004F6C6D" w14:paraId="62BC2200"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A8F7DAD" w14:textId="6CD3DF56"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DD52CB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Dependence Entropy (DeEn)</w:t>
            </w:r>
          </w:p>
        </w:tc>
        <w:tc>
          <w:tcPr>
            <w:tcW w:w="624" w:type="pct"/>
            <w:vAlign w:val="center"/>
            <w:hideMark/>
          </w:tcPr>
          <w:p w14:paraId="762049C8"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GLDM_DeEn</w:t>
            </w:r>
          </w:p>
        </w:tc>
        <w:tc>
          <w:tcPr>
            <w:tcW w:w="2866" w:type="pct"/>
            <w:vAlign w:val="center"/>
            <w:hideMark/>
          </w:tcPr>
          <w:p w14:paraId="4FBB626F"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Dependence entropy.</w:t>
            </w:r>
          </w:p>
        </w:tc>
      </w:tr>
      <w:tr w:rsidR="00EF2B67" w:rsidRPr="004F6C6D" w14:paraId="4F6C9D2E"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671467F" w14:textId="172BC5EE"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22AA5094"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Low Gray Level Emphasis (LGLE)</w:t>
            </w:r>
          </w:p>
        </w:tc>
        <w:tc>
          <w:tcPr>
            <w:tcW w:w="624" w:type="pct"/>
            <w:vAlign w:val="center"/>
            <w:hideMark/>
          </w:tcPr>
          <w:p w14:paraId="7AE1FA74"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GLDM_LGLE</w:t>
            </w:r>
          </w:p>
        </w:tc>
        <w:tc>
          <w:tcPr>
            <w:tcW w:w="2866" w:type="pct"/>
            <w:vAlign w:val="center"/>
            <w:hideMark/>
          </w:tcPr>
          <w:p w14:paraId="4A52394A"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distribution of low gray-level values, with a higher value indicating a greater concentration of low gray-level values in the image.</w:t>
            </w:r>
          </w:p>
        </w:tc>
      </w:tr>
      <w:tr w:rsidR="00EF2B67" w:rsidRPr="004F6C6D" w14:paraId="0DD971F1"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14D6CAA0" w14:textId="0554ED4B"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0F281898"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High Gray Level Emphasis (HGLE)</w:t>
            </w:r>
          </w:p>
        </w:tc>
        <w:tc>
          <w:tcPr>
            <w:tcW w:w="624" w:type="pct"/>
            <w:vAlign w:val="center"/>
            <w:hideMark/>
          </w:tcPr>
          <w:p w14:paraId="1044491A"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GLDM_HGLE</w:t>
            </w:r>
          </w:p>
        </w:tc>
        <w:tc>
          <w:tcPr>
            <w:tcW w:w="2866" w:type="pct"/>
            <w:vAlign w:val="center"/>
            <w:hideMark/>
          </w:tcPr>
          <w:p w14:paraId="26B521AB"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distribution of the higher gray-level values, with a higher value indicating a greater concentration of high gray-level values in the image.</w:t>
            </w:r>
          </w:p>
        </w:tc>
      </w:tr>
      <w:tr w:rsidR="00EF2B67" w:rsidRPr="004F6C6D" w14:paraId="417F1BE3"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69F4F5B4" w14:textId="262001B5"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7582DB58"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Small Dependence Low Gray Level Emphasis (SDLGLE)</w:t>
            </w:r>
          </w:p>
        </w:tc>
        <w:tc>
          <w:tcPr>
            <w:tcW w:w="624" w:type="pct"/>
            <w:vAlign w:val="center"/>
            <w:hideMark/>
          </w:tcPr>
          <w:p w14:paraId="3825C0D2"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GLDM_SDLGLE</w:t>
            </w:r>
          </w:p>
        </w:tc>
        <w:tc>
          <w:tcPr>
            <w:tcW w:w="2866" w:type="pct"/>
            <w:vAlign w:val="center"/>
            <w:hideMark/>
          </w:tcPr>
          <w:p w14:paraId="1B6309E3"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joint distribution of small dependence with lower gray-level values.</w:t>
            </w:r>
          </w:p>
        </w:tc>
      </w:tr>
      <w:tr w:rsidR="00EF2B67" w:rsidRPr="004F6C6D" w14:paraId="2B750C7B"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45DA5D0" w14:textId="34EE3DB8"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57AEE7F0"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Small Dependence High Gray Level Emphasis (SDHGLE)</w:t>
            </w:r>
          </w:p>
        </w:tc>
        <w:tc>
          <w:tcPr>
            <w:tcW w:w="624" w:type="pct"/>
            <w:vAlign w:val="center"/>
            <w:hideMark/>
          </w:tcPr>
          <w:p w14:paraId="6C04D80C"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GLDM_SDHGLE</w:t>
            </w:r>
          </w:p>
        </w:tc>
        <w:tc>
          <w:tcPr>
            <w:tcW w:w="2866" w:type="pct"/>
            <w:vAlign w:val="center"/>
            <w:hideMark/>
          </w:tcPr>
          <w:p w14:paraId="10E139DA"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joint distribution of small dependence with higher gray-level values.</w:t>
            </w:r>
          </w:p>
        </w:tc>
      </w:tr>
      <w:tr w:rsidR="00EF2B67" w:rsidRPr="004F6C6D" w14:paraId="77C06438" w14:textId="77777777" w:rsidTr="005343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446C8B92" w14:textId="32C281D4"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1333456C"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Large Dependence Low Gray Level Emphasis (LDLGLE)</w:t>
            </w:r>
          </w:p>
        </w:tc>
        <w:tc>
          <w:tcPr>
            <w:tcW w:w="624" w:type="pct"/>
            <w:vAlign w:val="center"/>
            <w:hideMark/>
          </w:tcPr>
          <w:p w14:paraId="30FAEA7F"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GLDM_LDLGLE</w:t>
            </w:r>
          </w:p>
        </w:tc>
        <w:tc>
          <w:tcPr>
            <w:tcW w:w="2866" w:type="pct"/>
            <w:vAlign w:val="center"/>
            <w:hideMark/>
          </w:tcPr>
          <w:p w14:paraId="2502CEB3" w14:textId="77777777" w:rsidR="00EF2B67" w:rsidRPr="004F6C6D" w:rsidRDefault="00EF2B67" w:rsidP="00EF2B6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joint distribution of large dependence with lower gray-level values.</w:t>
            </w:r>
          </w:p>
        </w:tc>
      </w:tr>
      <w:tr w:rsidR="00EF2B67" w:rsidRPr="004F6C6D" w14:paraId="437F8FFF" w14:textId="77777777" w:rsidTr="005343B9">
        <w:trPr>
          <w:trHeight w:val="20"/>
        </w:trPr>
        <w:tc>
          <w:tcPr>
            <w:cnfStyle w:val="001000000000" w:firstRow="0" w:lastRow="0" w:firstColumn="1" w:lastColumn="0" w:oddVBand="0" w:evenVBand="0" w:oddHBand="0" w:evenHBand="0" w:firstRowFirstColumn="0" w:firstRowLastColumn="0" w:lastRowFirstColumn="0" w:lastRowLastColumn="0"/>
            <w:tcW w:w="608" w:type="pct"/>
            <w:vMerge/>
            <w:vAlign w:val="center"/>
            <w:hideMark/>
          </w:tcPr>
          <w:p w14:paraId="2AD1A537" w14:textId="6AFB6E84" w:rsidR="00EF2B67" w:rsidRPr="004F6C6D" w:rsidRDefault="00EF2B67" w:rsidP="00EF2B67">
            <w:pPr>
              <w:jc w:val="center"/>
              <w:rPr>
                <w:rFonts w:asciiTheme="majorBidi" w:hAnsiTheme="majorBidi" w:cstheme="majorBidi"/>
                <w:color w:val="000000"/>
                <w:sz w:val="16"/>
                <w:szCs w:val="16"/>
              </w:rPr>
            </w:pPr>
          </w:p>
        </w:tc>
        <w:tc>
          <w:tcPr>
            <w:tcW w:w="902" w:type="pct"/>
            <w:vAlign w:val="center"/>
            <w:hideMark/>
          </w:tcPr>
          <w:p w14:paraId="47BC05F9"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Large Dependence High Gray Level Emphasis (LDHGLE)</w:t>
            </w:r>
          </w:p>
        </w:tc>
        <w:tc>
          <w:tcPr>
            <w:tcW w:w="624" w:type="pct"/>
            <w:vAlign w:val="center"/>
            <w:hideMark/>
          </w:tcPr>
          <w:p w14:paraId="133DF6E1"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GLDM_LDHGLE</w:t>
            </w:r>
          </w:p>
        </w:tc>
        <w:tc>
          <w:tcPr>
            <w:tcW w:w="2866" w:type="pct"/>
            <w:vAlign w:val="center"/>
            <w:hideMark/>
          </w:tcPr>
          <w:p w14:paraId="4B34CBE9" w14:textId="77777777" w:rsidR="00EF2B67" w:rsidRPr="004F6C6D" w:rsidRDefault="00EF2B67" w:rsidP="00EF2B6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4F6C6D">
              <w:rPr>
                <w:rFonts w:asciiTheme="majorBidi" w:hAnsiTheme="majorBidi" w:cstheme="majorBidi"/>
                <w:color w:val="000000"/>
                <w:sz w:val="16"/>
                <w:szCs w:val="16"/>
              </w:rPr>
              <w:t>Measures the joint distribution of large dependence with higher gray-level values.</w:t>
            </w:r>
          </w:p>
        </w:tc>
      </w:tr>
    </w:tbl>
    <w:p w14:paraId="12848456" w14:textId="3B16A0D6" w:rsidR="00241F54" w:rsidRDefault="001D18F4" w:rsidP="004F6C6D">
      <w:pPr>
        <w:rPr>
          <w:rFonts w:asciiTheme="majorBidi" w:hAnsiTheme="majorBidi" w:cstheme="majorBidi"/>
          <w:color w:val="000000" w:themeColor="text1"/>
        </w:rPr>
      </w:pPr>
      <w:r w:rsidRPr="001D18F4">
        <w:rPr>
          <w:rFonts w:asciiTheme="majorBidi" w:hAnsiTheme="majorBidi" w:cstheme="majorBidi"/>
          <w:color w:val="000000" w:themeColor="text1"/>
        </w:rPr>
        <w:t xml:space="preserve"> </w:t>
      </w:r>
    </w:p>
    <w:p w14:paraId="1A99AE93" w14:textId="77777777" w:rsidR="005343B9" w:rsidRPr="004F6C6D" w:rsidRDefault="005343B9" w:rsidP="004F6C6D">
      <w:pPr>
        <w:rPr>
          <w:rFonts w:asciiTheme="majorBidi" w:hAnsiTheme="majorBidi" w:cstheme="majorBidi"/>
          <w:color w:val="000000" w:themeColor="text1"/>
        </w:rPr>
      </w:pPr>
    </w:p>
    <w:p w14:paraId="771FE148" w14:textId="33B49046" w:rsidR="00857E43" w:rsidRPr="004F6C6D" w:rsidRDefault="007511F3" w:rsidP="004F6C6D">
      <w:pPr>
        <w:jc w:val="center"/>
        <w:rPr>
          <w:rFonts w:asciiTheme="majorBidi" w:hAnsiTheme="majorBidi" w:cstheme="majorBidi"/>
          <w:color w:val="000000"/>
          <w:sz w:val="18"/>
          <w:szCs w:val="18"/>
          <w:shd w:val="clear" w:color="auto" w:fill="FFFFFF"/>
        </w:rPr>
      </w:pPr>
      <w:r w:rsidRPr="004F6C6D">
        <w:rPr>
          <w:rFonts w:asciiTheme="majorBidi" w:hAnsiTheme="majorBidi" w:cstheme="majorBidi"/>
          <w:b/>
          <w:bCs/>
          <w:color w:val="000000"/>
          <w:sz w:val="18"/>
          <w:szCs w:val="18"/>
          <w:shd w:val="clear" w:color="auto" w:fill="FFFFFF"/>
        </w:rPr>
        <w:t>Supplemental Table S2:</w:t>
      </w:r>
      <w:r w:rsidR="00992555" w:rsidRPr="004F6C6D">
        <w:rPr>
          <w:rFonts w:asciiTheme="majorBidi" w:hAnsiTheme="majorBidi" w:cstheme="majorBidi"/>
          <w:b/>
          <w:bCs/>
          <w:color w:val="000000"/>
          <w:sz w:val="18"/>
          <w:szCs w:val="18"/>
          <w:shd w:val="clear" w:color="auto" w:fill="FFFFFF"/>
        </w:rPr>
        <w:t xml:space="preserve"> </w:t>
      </w:r>
      <w:r w:rsidR="001D18F4" w:rsidRPr="004F6C6D">
        <w:rPr>
          <w:rFonts w:asciiTheme="majorBidi" w:hAnsiTheme="majorBidi" w:cstheme="majorBidi"/>
          <w:color w:val="000000"/>
          <w:sz w:val="18"/>
          <w:szCs w:val="18"/>
          <w:shd w:val="clear" w:color="auto" w:fill="FFFFFF"/>
        </w:rPr>
        <w:t>Clinical-Radiomics L</w:t>
      </w:r>
      <w:r w:rsidR="004F6C6D" w:rsidRPr="004F6C6D">
        <w:rPr>
          <w:rFonts w:asciiTheme="majorBidi" w:hAnsiTheme="majorBidi" w:cstheme="majorBidi"/>
          <w:color w:val="000000"/>
          <w:sz w:val="18"/>
          <w:szCs w:val="18"/>
          <w:shd w:val="clear" w:color="auto" w:fill="FFFFFF"/>
        </w:rPr>
        <w:t>ung</w:t>
      </w:r>
      <w:r w:rsidR="001D18F4" w:rsidRPr="004F6C6D">
        <w:rPr>
          <w:rFonts w:asciiTheme="majorBidi" w:hAnsiTheme="majorBidi" w:cstheme="majorBidi"/>
          <w:color w:val="000000"/>
          <w:sz w:val="18"/>
          <w:szCs w:val="18"/>
          <w:shd w:val="clear" w:color="auto" w:fill="FFFFFF"/>
        </w:rPr>
        <w:t>RADs Dictionary: Mapping All Radiomic Features Candidate to Ten Lung‐RADS Semantic Categories</w:t>
      </w:r>
    </w:p>
    <w:tbl>
      <w:tblPr>
        <w:tblStyle w:val="PlainTable2"/>
        <w:tblW w:w="5000" w:type="pct"/>
        <w:tblLook w:val="04A0" w:firstRow="1" w:lastRow="0" w:firstColumn="1" w:lastColumn="0" w:noHBand="0" w:noVBand="1"/>
      </w:tblPr>
      <w:tblGrid>
        <w:gridCol w:w="1727"/>
        <w:gridCol w:w="4301"/>
        <w:gridCol w:w="1426"/>
        <w:gridCol w:w="1778"/>
        <w:gridCol w:w="1568"/>
      </w:tblGrid>
      <w:tr w:rsidR="00857E43" w:rsidRPr="001D18F4" w14:paraId="1D95604C" w14:textId="77777777" w:rsidTr="005343B9">
        <w:trPr>
          <w:cnfStyle w:val="100000000000" w:firstRow="1" w:lastRow="0" w:firstColumn="0" w:lastColumn="0" w:oddVBand="0" w:evenVBand="0" w:oddHBand="0"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35D2C8C2" w14:textId="77777777" w:rsidR="00857E43" w:rsidRPr="001D18F4" w:rsidRDefault="00857E43" w:rsidP="00241F54">
            <w:pPr>
              <w:jc w:val="center"/>
              <w:rPr>
                <w:rFonts w:asciiTheme="majorBidi" w:hAnsiTheme="majorBidi" w:cstheme="majorBidi"/>
                <w:color w:val="000000" w:themeColor="text1"/>
                <w:sz w:val="16"/>
                <w:szCs w:val="16"/>
              </w:rPr>
            </w:pPr>
            <w:r w:rsidRPr="001D18F4">
              <w:rPr>
                <w:rFonts w:asciiTheme="majorBidi" w:hAnsiTheme="majorBidi" w:cstheme="majorBidi"/>
                <w:color w:val="000000" w:themeColor="text1"/>
                <w:sz w:val="16"/>
                <w:szCs w:val="16"/>
              </w:rPr>
              <w:t>Semantic Feature</w:t>
            </w:r>
          </w:p>
        </w:tc>
        <w:tc>
          <w:tcPr>
            <w:tcW w:w="1991" w:type="pct"/>
            <w:vAlign w:val="center"/>
            <w:hideMark/>
          </w:tcPr>
          <w:p w14:paraId="726C7EE2" w14:textId="77777777" w:rsidR="00857E43" w:rsidRPr="001D18F4" w:rsidRDefault="00857E43" w:rsidP="00241F5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6"/>
                <w:szCs w:val="16"/>
              </w:rPr>
            </w:pPr>
            <w:r w:rsidRPr="001D18F4">
              <w:rPr>
                <w:rFonts w:asciiTheme="majorBidi" w:hAnsiTheme="majorBidi" w:cstheme="majorBidi"/>
                <w:color w:val="000000" w:themeColor="text1"/>
                <w:sz w:val="16"/>
                <w:szCs w:val="16"/>
              </w:rPr>
              <w:t>Radiomics</w:t>
            </w:r>
          </w:p>
        </w:tc>
        <w:tc>
          <w:tcPr>
            <w:tcW w:w="660" w:type="pct"/>
            <w:vAlign w:val="center"/>
            <w:hideMark/>
          </w:tcPr>
          <w:p w14:paraId="474C9E16" w14:textId="77777777" w:rsidR="00857E43" w:rsidRPr="001D18F4" w:rsidRDefault="00857E43" w:rsidP="00241F5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6"/>
                <w:szCs w:val="16"/>
              </w:rPr>
            </w:pPr>
            <w:r w:rsidRPr="001D18F4">
              <w:rPr>
                <w:rFonts w:asciiTheme="majorBidi" w:hAnsiTheme="majorBidi" w:cstheme="majorBidi"/>
                <w:color w:val="000000" w:themeColor="text1"/>
                <w:sz w:val="16"/>
                <w:szCs w:val="16"/>
              </w:rPr>
              <w:t>Feature Name (full)</w:t>
            </w:r>
          </w:p>
        </w:tc>
        <w:tc>
          <w:tcPr>
            <w:tcW w:w="823" w:type="pct"/>
            <w:vAlign w:val="center"/>
            <w:hideMark/>
          </w:tcPr>
          <w:p w14:paraId="615980BD" w14:textId="77777777" w:rsidR="00857E43" w:rsidRPr="001D18F4" w:rsidRDefault="00857E43" w:rsidP="00241F5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6"/>
                <w:szCs w:val="16"/>
              </w:rPr>
            </w:pPr>
            <w:r w:rsidRPr="001D18F4">
              <w:rPr>
                <w:rFonts w:asciiTheme="majorBidi" w:hAnsiTheme="majorBidi" w:cstheme="majorBidi"/>
                <w:color w:val="000000" w:themeColor="text1"/>
                <w:sz w:val="16"/>
                <w:szCs w:val="16"/>
              </w:rPr>
              <w:t>Meaning of Radiomics</w:t>
            </w:r>
          </w:p>
        </w:tc>
        <w:tc>
          <w:tcPr>
            <w:tcW w:w="726" w:type="pct"/>
            <w:vAlign w:val="center"/>
            <w:hideMark/>
          </w:tcPr>
          <w:p w14:paraId="41ACCF31" w14:textId="77777777" w:rsidR="00857E43" w:rsidRPr="001D18F4" w:rsidRDefault="00857E43" w:rsidP="00241F5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6"/>
                <w:szCs w:val="16"/>
              </w:rPr>
            </w:pPr>
            <w:r w:rsidRPr="001D18F4">
              <w:rPr>
                <w:rFonts w:asciiTheme="majorBidi" w:hAnsiTheme="majorBidi" w:cstheme="majorBidi"/>
                <w:color w:val="000000" w:themeColor="text1"/>
                <w:sz w:val="16"/>
                <w:szCs w:val="16"/>
              </w:rPr>
              <w:t>Relationship to Lung-RADS</w:t>
            </w:r>
          </w:p>
        </w:tc>
      </w:tr>
      <w:tr w:rsidR="000B12B7" w:rsidRPr="001D18F4" w14:paraId="07AF934E" w14:textId="77777777" w:rsidTr="005343B9">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069C00C1" w14:textId="77777777" w:rsidR="000B12B7" w:rsidRPr="001D18F4" w:rsidRDefault="000B12B7"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Shape: Round</w:t>
            </w:r>
          </w:p>
        </w:tc>
        <w:tc>
          <w:tcPr>
            <w:tcW w:w="1991" w:type="pct"/>
            <w:vAlign w:val="center"/>
            <w:hideMark/>
          </w:tcPr>
          <w:p w14:paraId="114AF448" w14:textId="77777777" w:rsidR="000B12B7"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Shape:</w:t>
            </w:r>
          </w:p>
          <w:p w14:paraId="29D5A7FC" w14:textId="038A2AED"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SF_MV, SF_VV, SF_SA, SF_SAVR, SF_Sp, SF_Com1, SF_Com2, SF_SpD, SF_Max3DD, SF_Max2DD, SF_MAL, SF_MiAL, SF_LAL, SF_E, SF_F, SF_MS</w:t>
            </w:r>
          </w:p>
        </w:tc>
        <w:tc>
          <w:tcPr>
            <w:tcW w:w="660" w:type="pct"/>
            <w:vAlign w:val="center"/>
            <w:hideMark/>
          </w:tcPr>
          <w:p w14:paraId="049A270C" w14:textId="4CBE3AA1"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Sphericity</w:t>
            </w:r>
          </w:p>
        </w:tc>
        <w:tc>
          <w:tcPr>
            <w:tcW w:w="823" w:type="pct"/>
            <w:vAlign w:val="center"/>
            <w:hideMark/>
          </w:tcPr>
          <w:p w14:paraId="28D8A930" w14:textId="77777777"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Dimensionless measure of how close the lesion is to a perfect sphere (1 = perfect sphere).</w:t>
            </w:r>
          </w:p>
        </w:tc>
        <w:tc>
          <w:tcPr>
            <w:tcW w:w="726" w:type="pct"/>
            <w:vAlign w:val="center"/>
            <w:hideMark/>
          </w:tcPr>
          <w:p w14:paraId="1ADF6843" w14:textId="77777777"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Higher sphericity correlates with benign, smooth nodules (Lung-RADS 1–2).</w:t>
            </w:r>
          </w:p>
        </w:tc>
      </w:tr>
      <w:tr w:rsidR="000B12B7" w:rsidRPr="001D18F4" w14:paraId="3CFB54FF" w14:textId="77777777" w:rsidTr="005343B9">
        <w:trPr>
          <w:trHeight w:val="1104"/>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54C81414" w14:textId="77777777" w:rsidR="000B12B7" w:rsidRPr="001D18F4" w:rsidRDefault="000B12B7"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Shape: Oval</w:t>
            </w:r>
          </w:p>
        </w:tc>
        <w:tc>
          <w:tcPr>
            <w:tcW w:w="1991" w:type="pct"/>
            <w:vAlign w:val="center"/>
            <w:hideMark/>
          </w:tcPr>
          <w:p w14:paraId="14119130" w14:textId="77777777" w:rsidR="000B12B7"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Shap</w:t>
            </w:r>
            <w:r>
              <w:rPr>
                <w:rFonts w:asciiTheme="majorBidi" w:hAnsiTheme="majorBidi" w:cstheme="majorBidi"/>
                <w:color w:val="000000"/>
                <w:sz w:val="16"/>
                <w:szCs w:val="16"/>
              </w:rPr>
              <w:t>e</w:t>
            </w:r>
            <w:r w:rsidRPr="001D18F4">
              <w:rPr>
                <w:rFonts w:asciiTheme="majorBidi" w:hAnsiTheme="majorBidi" w:cstheme="majorBidi"/>
                <w:color w:val="000000"/>
                <w:sz w:val="16"/>
                <w:szCs w:val="16"/>
              </w:rPr>
              <w:t>:</w:t>
            </w:r>
          </w:p>
          <w:p w14:paraId="1AB71B62" w14:textId="00FB8F98"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SF_MV, SF_VV, SF_SA, SF_SAVR, SF_Sp, SF_Com1, SF_Com2, SF_SpD, SF_Max3DD, SF_Max2DD, SF_MAL, SF_MiAL, SF_LAL, SF_E, SF_F, SF_MS</w:t>
            </w:r>
          </w:p>
        </w:tc>
        <w:tc>
          <w:tcPr>
            <w:tcW w:w="660" w:type="pct"/>
            <w:vAlign w:val="center"/>
            <w:hideMark/>
          </w:tcPr>
          <w:p w14:paraId="7DA24974" w14:textId="6ED791F9"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Major Axis Length </w:t>
            </w:r>
          </w:p>
        </w:tc>
        <w:tc>
          <w:tcPr>
            <w:tcW w:w="823" w:type="pct"/>
            <w:vAlign w:val="center"/>
            <w:hideMark/>
          </w:tcPr>
          <w:p w14:paraId="55E8D296" w14:textId="77777777"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Largest principal axis length of the nodule’s fitted ellipsoid, reflecting elongation.</w:t>
            </w:r>
          </w:p>
        </w:tc>
        <w:tc>
          <w:tcPr>
            <w:tcW w:w="726" w:type="pct"/>
            <w:vAlign w:val="center"/>
            <w:hideMark/>
          </w:tcPr>
          <w:p w14:paraId="5FE3B09D" w14:textId="77777777"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Moderate axis elongation alone in small nodules often remains benign (Lung-RADS 1–2).</w:t>
            </w:r>
          </w:p>
        </w:tc>
      </w:tr>
      <w:tr w:rsidR="000B12B7" w:rsidRPr="001D18F4" w14:paraId="5663C0F8" w14:textId="77777777" w:rsidTr="005343B9">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58E3F66C" w14:textId="77777777" w:rsidR="000B12B7" w:rsidRPr="001D18F4" w:rsidRDefault="000B12B7"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Shape: Irregular</w:t>
            </w:r>
          </w:p>
        </w:tc>
        <w:tc>
          <w:tcPr>
            <w:tcW w:w="1991" w:type="pct"/>
            <w:vAlign w:val="center"/>
            <w:hideMark/>
          </w:tcPr>
          <w:p w14:paraId="18D502E8" w14:textId="77777777" w:rsidR="000B12B7"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Shape:</w:t>
            </w:r>
          </w:p>
          <w:p w14:paraId="3C716A12" w14:textId="3EDD4610"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SF_MV, SF_VV, SF_SA, SF_SAVR, SF_Sp, SF_Com1, SF_Com2, SF_SpD, SF_Max3DD, SF_Max2DD, SF_MAL, SF_MiAL, SF_LAL, SF_E, SF_F, SF_MS</w:t>
            </w:r>
          </w:p>
        </w:tc>
        <w:tc>
          <w:tcPr>
            <w:tcW w:w="660" w:type="pct"/>
            <w:vAlign w:val="center"/>
            <w:hideMark/>
          </w:tcPr>
          <w:p w14:paraId="65FF1066" w14:textId="7711542F"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Spherical Disproportion </w:t>
            </w:r>
          </w:p>
        </w:tc>
        <w:tc>
          <w:tcPr>
            <w:tcW w:w="823" w:type="pct"/>
            <w:vAlign w:val="center"/>
            <w:hideMark/>
          </w:tcPr>
          <w:p w14:paraId="05250D6C" w14:textId="77777777"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Ratio of lesion surface area to that of a sphere with equal volume; &gt;1 indicates irregularity.</w:t>
            </w:r>
          </w:p>
        </w:tc>
        <w:tc>
          <w:tcPr>
            <w:tcW w:w="726" w:type="pct"/>
            <w:vAlign w:val="center"/>
            <w:hideMark/>
          </w:tcPr>
          <w:p w14:paraId="79809F14" w14:textId="77777777"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Elevated values indicate spiculated/irregular nodules (Lung-RADS 3–4).</w:t>
            </w:r>
          </w:p>
        </w:tc>
      </w:tr>
      <w:tr w:rsidR="000B12B7" w:rsidRPr="001D18F4" w14:paraId="475532A5" w14:textId="77777777" w:rsidTr="005343B9">
        <w:trPr>
          <w:trHeight w:val="938"/>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4AFD66F1" w14:textId="77777777" w:rsidR="000B12B7" w:rsidRPr="001D18F4" w:rsidRDefault="000B12B7"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Margin: Smooth</w:t>
            </w:r>
          </w:p>
        </w:tc>
        <w:tc>
          <w:tcPr>
            <w:tcW w:w="1991" w:type="pct"/>
            <w:vAlign w:val="center"/>
            <w:hideMark/>
          </w:tcPr>
          <w:p w14:paraId="64EF97E2" w14:textId="77777777" w:rsidR="000B12B7"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Shape:</w:t>
            </w:r>
          </w:p>
          <w:p w14:paraId="76630AEE" w14:textId="56A29FAD"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SF_PS, SF_P, SF_PSR, SF_Sp, SF_SpD, SF_Max2DD (Slice), SF_Max2DD (Column), SF_Max2DD (Row), SF_MAL, SF_MiAL</w:t>
            </w:r>
          </w:p>
        </w:tc>
        <w:tc>
          <w:tcPr>
            <w:tcW w:w="660" w:type="pct"/>
            <w:vAlign w:val="center"/>
            <w:hideMark/>
          </w:tcPr>
          <w:p w14:paraId="50A7556E" w14:textId="3BE26389"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Compactness 2 </w:t>
            </w:r>
          </w:p>
        </w:tc>
        <w:tc>
          <w:tcPr>
            <w:tcW w:w="823" w:type="pct"/>
            <w:vAlign w:val="center"/>
            <w:hideMark/>
          </w:tcPr>
          <w:p w14:paraId="3E85384D" w14:textId="77777777"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Shape compactness relative to a sphere—higher means smoother borders.</w:t>
            </w:r>
          </w:p>
        </w:tc>
        <w:tc>
          <w:tcPr>
            <w:tcW w:w="726" w:type="pct"/>
            <w:vAlign w:val="center"/>
            <w:hideMark/>
          </w:tcPr>
          <w:p w14:paraId="17CDA590" w14:textId="77777777"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compactness aligns with smooth margins (Lung-RADS 1–2).</w:t>
            </w:r>
          </w:p>
        </w:tc>
      </w:tr>
      <w:tr w:rsidR="000B12B7" w:rsidRPr="001D18F4" w14:paraId="719B0F8B" w14:textId="77777777" w:rsidTr="005343B9">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346EC848" w14:textId="77777777" w:rsidR="000B12B7" w:rsidRPr="001D18F4" w:rsidRDefault="000B12B7"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Margin: Lobulated</w:t>
            </w:r>
          </w:p>
        </w:tc>
        <w:tc>
          <w:tcPr>
            <w:tcW w:w="1991" w:type="pct"/>
            <w:vAlign w:val="center"/>
            <w:hideMark/>
          </w:tcPr>
          <w:p w14:paraId="3B26EE0A" w14:textId="77777777" w:rsidR="000B12B7"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Shape:</w:t>
            </w:r>
          </w:p>
          <w:p w14:paraId="19065032" w14:textId="5F86BCF7"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SF_PS, SF_P, SF_PSR, SF_Sp, SF_SpD, SF_Max2DD (Slice), SF_Max2DD (Column), SF_Max2DD (Row), SF_MAL, SF_MiAL</w:t>
            </w:r>
          </w:p>
        </w:tc>
        <w:tc>
          <w:tcPr>
            <w:tcW w:w="660" w:type="pct"/>
            <w:vAlign w:val="center"/>
            <w:hideMark/>
          </w:tcPr>
          <w:p w14:paraId="223F4012" w14:textId="5DDE8007"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Elongation </w:t>
            </w:r>
          </w:p>
        </w:tc>
        <w:tc>
          <w:tcPr>
            <w:tcW w:w="823" w:type="pct"/>
            <w:vAlign w:val="center"/>
            <w:hideMark/>
          </w:tcPr>
          <w:p w14:paraId="6F89A4F7" w14:textId="77777777"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Inverse ratio of the smallest to largest ellipsoid axis—captures moderate waveform in margin.</w:t>
            </w:r>
          </w:p>
        </w:tc>
        <w:tc>
          <w:tcPr>
            <w:tcW w:w="726" w:type="pct"/>
            <w:vAlign w:val="center"/>
            <w:hideMark/>
          </w:tcPr>
          <w:p w14:paraId="0E8A7AF0" w14:textId="77777777" w:rsidR="000B12B7" w:rsidRPr="001D18F4" w:rsidRDefault="000B12B7"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Moderate elongation can indicate lobulation and possible malignancy (Lung-RADS 3).</w:t>
            </w:r>
          </w:p>
        </w:tc>
      </w:tr>
      <w:tr w:rsidR="000B12B7" w:rsidRPr="001D18F4" w14:paraId="2A935E19" w14:textId="77777777" w:rsidTr="005343B9">
        <w:trPr>
          <w:trHeight w:val="938"/>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02DA1BCA" w14:textId="77777777" w:rsidR="000B12B7" w:rsidRPr="001D18F4" w:rsidRDefault="000B12B7"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Margin: Spiculated</w:t>
            </w:r>
          </w:p>
        </w:tc>
        <w:tc>
          <w:tcPr>
            <w:tcW w:w="1991" w:type="pct"/>
            <w:vAlign w:val="center"/>
            <w:hideMark/>
          </w:tcPr>
          <w:p w14:paraId="415BE90B" w14:textId="77777777" w:rsidR="000B12B7"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Shape:</w:t>
            </w:r>
          </w:p>
          <w:p w14:paraId="0468D0B4" w14:textId="7E08328B"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SF_PS, SF_P, SF_PSR, SF_Sp, SF_SpD, SF_Max2DD (Slice), SF_Max2DD (Column), SF_Max2DD (Row), SF_MAL, SF_MiAL</w:t>
            </w:r>
          </w:p>
        </w:tc>
        <w:tc>
          <w:tcPr>
            <w:tcW w:w="660" w:type="pct"/>
            <w:vAlign w:val="center"/>
            <w:hideMark/>
          </w:tcPr>
          <w:p w14:paraId="441B4556" w14:textId="4FED4E37"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Perimeter-to-Surface Ratio </w:t>
            </w:r>
          </w:p>
        </w:tc>
        <w:tc>
          <w:tcPr>
            <w:tcW w:w="823" w:type="pct"/>
            <w:vAlign w:val="center"/>
            <w:hideMark/>
          </w:tcPr>
          <w:p w14:paraId="653FCAB3" w14:textId="77777777"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Higher ratio means more complex, spiked outline.</w:t>
            </w:r>
          </w:p>
        </w:tc>
        <w:tc>
          <w:tcPr>
            <w:tcW w:w="726" w:type="pct"/>
            <w:vAlign w:val="center"/>
            <w:hideMark/>
          </w:tcPr>
          <w:p w14:paraId="5B50171B" w14:textId="77777777" w:rsidR="000B12B7" w:rsidRPr="001D18F4" w:rsidRDefault="000B12B7"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Elevated ratios strongly predict spiculated margins (Lung-RADS 4B/4X).</w:t>
            </w:r>
          </w:p>
        </w:tc>
      </w:tr>
      <w:tr w:rsidR="00857E43" w:rsidRPr="001D18F4" w14:paraId="6CEA242F" w14:textId="77777777" w:rsidTr="005343B9">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7A49DA8A" w14:textId="77777777" w:rsidR="00857E43" w:rsidRPr="001D18F4" w:rsidRDefault="00857E43"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Size: Tiny (&lt;4 mm)</w:t>
            </w:r>
          </w:p>
        </w:tc>
        <w:tc>
          <w:tcPr>
            <w:tcW w:w="1991" w:type="pct"/>
            <w:vAlign w:val="center"/>
            <w:hideMark/>
          </w:tcPr>
          <w:p w14:paraId="4B327EAE" w14:textId="77777777" w:rsidR="000B12B7"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Shape:</w:t>
            </w:r>
          </w:p>
          <w:p w14:paraId="7E51C92E" w14:textId="2A604B38"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 SF_Max3DD, SF_Max2DD, SF_VV, SF_MV</w:t>
            </w:r>
            <w:r w:rsidR="000B12B7">
              <w:rPr>
                <w:rFonts w:asciiTheme="majorBidi" w:hAnsiTheme="majorBidi" w:cstheme="majorBidi"/>
                <w:color w:val="000000"/>
                <w:sz w:val="16"/>
                <w:szCs w:val="16"/>
              </w:rPr>
              <w:t xml:space="preserve">, </w:t>
            </w:r>
            <w:r w:rsidRPr="001D18F4">
              <w:rPr>
                <w:rFonts w:asciiTheme="majorBidi" w:hAnsiTheme="majorBidi" w:cstheme="majorBidi"/>
                <w:color w:val="000000"/>
                <w:sz w:val="16"/>
                <w:szCs w:val="16"/>
              </w:rPr>
              <w:t>SF_Max2DD (all planes)</w:t>
            </w:r>
          </w:p>
        </w:tc>
        <w:tc>
          <w:tcPr>
            <w:tcW w:w="660" w:type="pct"/>
            <w:vAlign w:val="center"/>
            <w:hideMark/>
          </w:tcPr>
          <w:p w14:paraId="229FDD07"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Maximum 2D Diameter (all planes)</w:t>
            </w:r>
          </w:p>
        </w:tc>
        <w:tc>
          <w:tcPr>
            <w:tcW w:w="823" w:type="pct"/>
            <w:vAlign w:val="center"/>
            <w:hideMark/>
          </w:tcPr>
          <w:p w14:paraId="69EF1DFF"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Largest in‐plane Feret diameter; small values indicate tiny nodules.</w:t>
            </w:r>
          </w:p>
        </w:tc>
        <w:tc>
          <w:tcPr>
            <w:tcW w:w="726" w:type="pct"/>
            <w:vAlign w:val="center"/>
            <w:hideMark/>
          </w:tcPr>
          <w:p w14:paraId="155EB248"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Values &lt;4 mm map to Lung-RADS 1–2.</w:t>
            </w:r>
          </w:p>
        </w:tc>
      </w:tr>
      <w:tr w:rsidR="00857E43" w:rsidRPr="001D18F4" w14:paraId="23A0502A" w14:textId="77777777" w:rsidTr="005343B9">
        <w:trPr>
          <w:trHeight w:val="192"/>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6D7B0978" w14:textId="77777777" w:rsidR="00857E43" w:rsidRPr="001D18F4" w:rsidRDefault="00857E43"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Size: Moderate (6–15 mm)</w:t>
            </w:r>
          </w:p>
        </w:tc>
        <w:tc>
          <w:tcPr>
            <w:tcW w:w="1991" w:type="pct"/>
            <w:vAlign w:val="center"/>
            <w:hideMark/>
          </w:tcPr>
          <w:p w14:paraId="1C132CF7" w14:textId="77777777" w:rsidR="000B12B7"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Shape:</w:t>
            </w:r>
          </w:p>
          <w:p w14:paraId="24273E1A" w14:textId="66EB667D"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 SF_Max3DD, SF_Max2DD, SF_VV, SF_MV</w:t>
            </w:r>
            <w:r w:rsidR="000B12B7">
              <w:rPr>
                <w:rFonts w:asciiTheme="majorBidi" w:hAnsiTheme="majorBidi" w:cstheme="majorBidi"/>
                <w:color w:val="000000"/>
                <w:sz w:val="16"/>
                <w:szCs w:val="16"/>
              </w:rPr>
              <w:t>,</w:t>
            </w:r>
            <w:r w:rsidRPr="001D18F4">
              <w:rPr>
                <w:rFonts w:asciiTheme="majorBidi" w:hAnsiTheme="majorBidi" w:cstheme="majorBidi"/>
                <w:color w:val="000000"/>
                <w:sz w:val="16"/>
                <w:szCs w:val="16"/>
              </w:rPr>
              <w:t xml:space="preserve"> SF_Max2DD (all planes)</w:t>
            </w:r>
          </w:p>
        </w:tc>
        <w:tc>
          <w:tcPr>
            <w:tcW w:w="660" w:type="pct"/>
            <w:vAlign w:val="center"/>
            <w:hideMark/>
          </w:tcPr>
          <w:p w14:paraId="10862884" w14:textId="38DC110C"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Voxel Volume </w:t>
            </w:r>
          </w:p>
        </w:tc>
        <w:tc>
          <w:tcPr>
            <w:tcW w:w="823" w:type="pct"/>
            <w:vAlign w:val="center"/>
            <w:hideMark/>
          </w:tcPr>
          <w:p w14:paraId="05CD04DB"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Total voxel count × voxel volume—quantifies nodule volume.</w:t>
            </w:r>
          </w:p>
        </w:tc>
        <w:tc>
          <w:tcPr>
            <w:tcW w:w="726" w:type="pct"/>
            <w:vAlign w:val="center"/>
            <w:hideMark/>
          </w:tcPr>
          <w:p w14:paraId="2540022D"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Volumes corresponding to 6–15 mm diameters often trigger Lung-RADS 3–4A.</w:t>
            </w:r>
          </w:p>
        </w:tc>
      </w:tr>
      <w:tr w:rsidR="00857E43" w:rsidRPr="001D18F4" w14:paraId="6101CAC3" w14:textId="77777777" w:rsidTr="005343B9">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5830309A" w14:textId="77777777" w:rsidR="00857E43" w:rsidRPr="001D18F4" w:rsidRDefault="00857E43"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Attenuation: Ground-glass</w:t>
            </w:r>
          </w:p>
        </w:tc>
        <w:tc>
          <w:tcPr>
            <w:tcW w:w="1991" w:type="pct"/>
            <w:vAlign w:val="center"/>
            <w:hideMark/>
          </w:tcPr>
          <w:p w14:paraId="690F58C1" w14:textId="2E21842B" w:rsidR="000B12B7"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First Order:</w:t>
            </w:r>
          </w:p>
          <w:p w14:paraId="4BC55983" w14:textId="4B6B28F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 FO_E, FO_TE, FO_En, FO_Min, FO_10P, FO_90P, FO_MaxI, FO_MI, FO_MedI, FO_IQR, FO_R, FO_MAD, FO_rMAD, FO_RMS, FO_SD, FO_Sk, FO_Ku, FO_V, FO_Un</w:t>
            </w:r>
          </w:p>
        </w:tc>
        <w:tc>
          <w:tcPr>
            <w:tcW w:w="660" w:type="pct"/>
            <w:vAlign w:val="center"/>
            <w:hideMark/>
          </w:tcPr>
          <w:p w14:paraId="6D07E10F"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Standard Deviation (first-order)</w:t>
            </w:r>
          </w:p>
        </w:tc>
        <w:tc>
          <w:tcPr>
            <w:tcW w:w="823" w:type="pct"/>
            <w:vAlign w:val="center"/>
            <w:hideMark/>
          </w:tcPr>
          <w:p w14:paraId="625200EC"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Dispersion of voxel intensities—higher in heterogeneous ground-glass nodules.</w:t>
            </w:r>
          </w:p>
        </w:tc>
        <w:tc>
          <w:tcPr>
            <w:tcW w:w="726" w:type="pct"/>
            <w:vAlign w:val="center"/>
            <w:hideMark/>
          </w:tcPr>
          <w:p w14:paraId="7EFA3CF7"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Elevated SD in large/new ground-glass nodules maps to Lung-RADS 3.</w:t>
            </w:r>
          </w:p>
        </w:tc>
      </w:tr>
      <w:tr w:rsidR="00857E43" w:rsidRPr="001D18F4" w14:paraId="6B98ABA1" w14:textId="77777777" w:rsidTr="005343B9">
        <w:trPr>
          <w:trHeight w:val="192"/>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1CCC7E92" w14:textId="77777777" w:rsidR="00857E43" w:rsidRPr="001D18F4" w:rsidRDefault="00857E43"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Attenuation: Solid core</w:t>
            </w:r>
          </w:p>
        </w:tc>
        <w:tc>
          <w:tcPr>
            <w:tcW w:w="1991" w:type="pct"/>
            <w:vAlign w:val="center"/>
            <w:hideMark/>
          </w:tcPr>
          <w:p w14:paraId="7CEB4DA3" w14:textId="77777777" w:rsidR="000B12B7"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First Order:</w:t>
            </w:r>
          </w:p>
          <w:p w14:paraId="6C2077CF" w14:textId="20692634"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 FO_E, FO_TE, FO_En, FO_Min, FO_10P, FO_90P, FO_MaxI, FO_MI, FO_MedI, FO_IQR, FO_R, FO_MAD, FO_rMAD, FO_RMS, FO_SD, FO_Sk, FO_Ku, FO_V, FO_Un</w:t>
            </w:r>
          </w:p>
        </w:tc>
        <w:tc>
          <w:tcPr>
            <w:tcW w:w="660" w:type="pct"/>
            <w:vAlign w:val="center"/>
            <w:hideMark/>
          </w:tcPr>
          <w:p w14:paraId="34A1390F"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Mean Intensity (first-order)</w:t>
            </w:r>
          </w:p>
        </w:tc>
        <w:tc>
          <w:tcPr>
            <w:tcW w:w="823" w:type="pct"/>
            <w:vAlign w:val="center"/>
            <w:hideMark/>
          </w:tcPr>
          <w:p w14:paraId="2816CDD7"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Average gray-level within ROI—solid cores have higher mean HU.</w:t>
            </w:r>
          </w:p>
        </w:tc>
        <w:tc>
          <w:tcPr>
            <w:tcW w:w="726" w:type="pct"/>
            <w:vAlign w:val="center"/>
            <w:hideMark/>
          </w:tcPr>
          <w:p w14:paraId="0DE37F56"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mean intensity with large solid component suggests Lung-RADS 4A–4B.</w:t>
            </w:r>
          </w:p>
        </w:tc>
      </w:tr>
      <w:tr w:rsidR="00857E43" w:rsidRPr="001D18F4" w14:paraId="0B3F3CEB" w14:textId="77777777" w:rsidTr="005343B9">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5AFD31D4" w14:textId="77777777" w:rsidR="00857E43" w:rsidRPr="001D18F4" w:rsidRDefault="00857E43"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Growth: Rapid</w:t>
            </w:r>
          </w:p>
        </w:tc>
        <w:tc>
          <w:tcPr>
            <w:tcW w:w="1991" w:type="pct"/>
            <w:vAlign w:val="center"/>
            <w:hideMark/>
          </w:tcPr>
          <w:p w14:paraId="3E6D730C" w14:textId="62249C22"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Delta (derived): ΔSF_VV, ΔFO_MI; Velocity: VDC (user-defined metric)</w:t>
            </w:r>
          </w:p>
        </w:tc>
        <w:tc>
          <w:tcPr>
            <w:tcW w:w="660" w:type="pct"/>
            <w:vAlign w:val="center"/>
            <w:hideMark/>
          </w:tcPr>
          <w:p w14:paraId="07E375D2"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Δ Voxel Volume (time)</w:t>
            </w:r>
          </w:p>
        </w:tc>
        <w:tc>
          <w:tcPr>
            <w:tcW w:w="823" w:type="pct"/>
            <w:vAlign w:val="center"/>
            <w:hideMark/>
          </w:tcPr>
          <w:p w14:paraId="3C2BA054"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Change in 3D volume between scans—captures growth velocity.</w:t>
            </w:r>
          </w:p>
        </w:tc>
        <w:tc>
          <w:tcPr>
            <w:tcW w:w="726" w:type="pct"/>
            <w:vAlign w:val="center"/>
            <w:hideMark/>
          </w:tcPr>
          <w:p w14:paraId="70B28257"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Rapid ΔVolume correlates with high-risk category Lung-RADS 4X.</w:t>
            </w:r>
          </w:p>
        </w:tc>
      </w:tr>
      <w:tr w:rsidR="00857E43" w:rsidRPr="001D18F4" w14:paraId="67950C28" w14:textId="77777777" w:rsidTr="005343B9">
        <w:trPr>
          <w:trHeight w:val="192"/>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1410B9D9" w14:textId="77777777" w:rsidR="00857E43" w:rsidRPr="001D18F4" w:rsidRDefault="00857E43"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Calcification: Central/Popcorn</w:t>
            </w:r>
          </w:p>
        </w:tc>
        <w:tc>
          <w:tcPr>
            <w:tcW w:w="1991" w:type="pct"/>
            <w:vAlign w:val="center"/>
            <w:hideMark/>
          </w:tcPr>
          <w:p w14:paraId="44C3F0E5" w14:textId="77777777" w:rsidR="000B12B7"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First Order:</w:t>
            </w:r>
          </w:p>
          <w:p w14:paraId="60B66F54" w14:textId="6A0E619F"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 FO_TE, FO_RMS, FO_MaxI; First Order: FO_Un</w:t>
            </w:r>
          </w:p>
        </w:tc>
        <w:tc>
          <w:tcPr>
            <w:tcW w:w="660" w:type="pct"/>
            <w:vAlign w:val="center"/>
            <w:hideMark/>
          </w:tcPr>
          <w:p w14:paraId="51D9DDE1"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Total Energy (first-order)</w:t>
            </w:r>
          </w:p>
        </w:tc>
        <w:tc>
          <w:tcPr>
            <w:tcW w:w="823" w:type="pct"/>
            <w:vAlign w:val="center"/>
            <w:hideMark/>
          </w:tcPr>
          <w:p w14:paraId="2E21DDF3"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Sum of squared intensities scaled by </w:t>
            </w:r>
            <w:r w:rsidRPr="001D18F4">
              <w:rPr>
                <w:rFonts w:asciiTheme="majorBidi" w:hAnsiTheme="majorBidi" w:cstheme="majorBidi"/>
                <w:color w:val="000000"/>
                <w:sz w:val="16"/>
                <w:szCs w:val="16"/>
              </w:rPr>
              <w:lastRenderedPageBreak/>
              <w:t>voxel volume—high in calcified regions.</w:t>
            </w:r>
          </w:p>
        </w:tc>
        <w:tc>
          <w:tcPr>
            <w:tcW w:w="726" w:type="pct"/>
            <w:vAlign w:val="center"/>
            <w:hideMark/>
          </w:tcPr>
          <w:p w14:paraId="644C8B9E"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lastRenderedPageBreak/>
              <w:t xml:space="preserve">Very high FO_TE indicates dense </w:t>
            </w:r>
            <w:r w:rsidRPr="001D18F4">
              <w:rPr>
                <w:rFonts w:asciiTheme="majorBidi" w:hAnsiTheme="majorBidi" w:cstheme="majorBidi"/>
                <w:color w:val="000000"/>
                <w:sz w:val="16"/>
                <w:szCs w:val="16"/>
              </w:rPr>
              <w:lastRenderedPageBreak/>
              <w:t>calcification → Cat 1–2.</w:t>
            </w:r>
          </w:p>
        </w:tc>
      </w:tr>
      <w:tr w:rsidR="00857E43" w:rsidRPr="001D18F4" w14:paraId="338A8068" w14:textId="77777777" w:rsidTr="005343B9">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5C00399D" w14:textId="77777777" w:rsidR="00857E43" w:rsidRPr="001D18F4" w:rsidRDefault="00857E43"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lastRenderedPageBreak/>
              <w:t>Internal: Cavitation</w:t>
            </w:r>
          </w:p>
        </w:tc>
        <w:tc>
          <w:tcPr>
            <w:tcW w:w="1991" w:type="pct"/>
            <w:vAlign w:val="center"/>
            <w:hideMark/>
          </w:tcPr>
          <w:p w14:paraId="31DC309B" w14:textId="77777777" w:rsidR="000B12B7"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First Order:</w:t>
            </w:r>
          </w:p>
          <w:p w14:paraId="0FAF2922" w14:textId="2BFD5CC1"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 FO_Min, FO_10P, FO_90P, FO_IQR, FO_Un</w:t>
            </w:r>
          </w:p>
        </w:tc>
        <w:tc>
          <w:tcPr>
            <w:tcW w:w="660" w:type="pct"/>
            <w:vAlign w:val="center"/>
            <w:hideMark/>
          </w:tcPr>
          <w:p w14:paraId="4DC9C2CF"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Interquartile Range (first-order)</w:t>
            </w:r>
          </w:p>
        </w:tc>
        <w:tc>
          <w:tcPr>
            <w:tcW w:w="823" w:type="pct"/>
            <w:vAlign w:val="center"/>
            <w:hideMark/>
          </w:tcPr>
          <w:p w14:paraId="504367A6"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Spread between 25th–75th percentiles—wider in cavitated lesions.</w:t>
            </w:r>
          </w:p>
        </w:tc>
        <w:tc>
          <w:tcPr>
            <w:tcW w:w="726" w:type="pct"/>
            <w:vAlign w:val="center"/>
            <w:hideMark/>
          </w:tcPr>
          <w:p w14:paraId="44EC2D16"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Elevated IQR in thin-walled cavities often benign (Cat 2–3).</w:t>
            </w:r>
          </w:p>
        </w:tc>
      </w:tr>
      <w:tr w:rsidR="00857E43" w:rsidRPr="001D18F4" w14:paraId="74C33E49" w14:textId="77777777" w:rsidTr="005343B9">
        <w:trPr>
          <w:trHeight w:val="192"/>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636CE055" w14:textId="77777777" w:rsidR="00857E43" w:rsidRPr="001D18F4" w:rsidRDefault="00857E43"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Location: Juxtapleural</w:t>
            </w:r>
          </w:p>
        </w:tc>
        <w:tc>
          <w:tcPr>
            <w:tcW w:w="1991" w:type="pct"/>
            <w:vAlign w:val="center"/>
            <w:hideMark/>
          </w:tcPr>
          <w:p w14:paraId="62E712D0"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Shape (derived): SF_CentroidDist*, SF_DistAirway* (not native PyRadiomics)</w:t>
            </w:r>
          </w:p>
        </w:tc>
        <w:tc>
          <w:tcPr>
            <w:tcW w:w="660" w:type="pct"/>
            <w:vAlign w:val="center"/>
            <w:hideMark/>
          </w:tcPr>
          <w:p w14:paraId="55C9B204" w14:textId="38BBE56F"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Sphericity</w:t>
            </w:r>
          </w:p>
        </w:tc>
        <w:tc>
          <w:tcPr>
            <w:tcW w:w="823" w:type="pct"/>
            <w:vAlign w:val="center"/>
            <w:hideMark/>
          </w:tcPr>
          <w:p w14:paraId="35BF3858"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2D roundness measure on axial slice—higher in perifissural nodules.</w:t>
            </w:r>
          </w:p>
        </w:tc>
        <w:tc>
          <w:tcPr>
            <w:tcW w:w="726" w:type="pct"/>
            <w:vAlign w:val="center"/>
            <w:hideMark/>
          </w:tcPr>
          <w:p w14:paraId="03E1493C"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2D sphericity at pleural surface → benign lymph node (Cat 2).</w:t>
            </w:r>
          </w:p>
        </w:tc>
      </w:tr>
      <w:tr w:rsidR="00857E43" w:rsidRPr="001D18F4" w14:paraId="40DFDB32" w14:textId="77777777" w:rsidTr="005343B9">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800" w:type="pct"/>
            <w:vAlign w:val="center"/>
            <w:hideMark/>
          </w:tcPr>
          <w:p w14:paraId="01397F45" w14:textId="77777777" w:rsidR="00857E43" w:rsidRPr="001D18F4" w:rsidRDefault="00857E43"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Spiculation: Marked</w:t>
            </w:r>
          </w:p>
        </w:tc>
        <w:tc>
          <w:tcPr>
            <w:tcW w:w="1991" w:type="pct"/>
            <w:vAlign w:val="center"/>
            <w:hideMark/>
          </w:tcPr>
          <w:p w14:paraId="15D41A37" w14:textId="54B1776B"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Texture (GLCM): GLCM_AC, GLCM_JA, GLCM_CP, GLCM_CS, GLCM_CT, GLCM_Co, GLCM_Corr, GLCM_DA, GLCM_DiEn, GLCM_JE, GLCM_JEn, GLCM_IMC1, GLCM_IMC2, GLCM_IDM, GLCM_MCC, GLCM_IDMN, GLCM_ID, GLCM_IDN, GLCM_IV, GLCM_MP, GLCM_Sav, GLCM_SEn, GLCM_SQ</w:t>
            </w:r>
          </w:p>
        </w:tc>
        <w:tc>
          <w:tcPr>
            <w:tcW w:w="660" w:type="pct"/>
            <w:vAlign w:val="center"/>
            <w:hideMark/>
          </w:tcPr>
          <w:p w14:paraId="04FE608A"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Inverse Difference Moment (GLCM)</w:t>
            </w:r>
          </w:p>
        </w:tc>
        <w:tc>
          <w:tcPr>
            <w:tcW w:w="823" w:type="pct"/>
            <w:vAlign w:val="center"/>
            <w:hideMark/>
          </w:tcPr>
          <w:p w14:paraId="2DCA41B9"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Texture homogeneity index—low in highly spiculated textures.</w:t>
            </w:r>
          </w:p>
        </w:tc>
        <w:tc>
          <w:tcPr>
            <w:tcW w:w="726" w:type="pct"/>
            <w:vAlign w:val="center"/>
            <w:hideMark/>
          </w:tcPr>
          <w:p w14:paraId="43481F26"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Low GLCM_IDM values indicate marked spiculation (Lung-RADS 4X).</w:t>
            </w:r>
          </w:p>
        </w:tc>
      </w:tr>
      <w:tr w:rsidR="00857E43" w:rsidRPr="001D18F4" w14:paraId="5D9421AF" w14:textId="77777777" w:rsidTr="005343B9">
        <w:trPr>
          <w:trHeight w:val="192"/>
        </w:trPr>
        <w:tc>
          <w:tcPr>
            <w:cnfStyle w:val="001000000000" w:firstRow="0" w:lastRow="0" w:firstColumn="1" w:lastColumn="0" w:oddVBand="0" w:evenVBand="0" w:oddHBand="0" w:evenHBand="0" w:firstRowFirstColumn="0" w:firstRowLastColumn="0" w:lastRowFirstColumn="0" w:lastRowLastColumn="0"/>
            <w:tcW w:w="800" w:type="pct"/>
            <w:vMerge w:val="restart"/>
            <w:vAlign w:val="center"/>
            <w:hideMark/>
          </w:tcPr>
          <w:p w14:paraId="66E8DBFD" w14:textId="77777777" w:rsidR="00857E43" w:rsidRPr="001D18F4" w:rsidRDefault="00857E43" w:rsidP="00241F54">
            <w:pPr>
              <w:jc w:val="center"/>
              <w:rPr>
                <w:rFonts w:asciiTheme="majorBidi" w:hAnsiTheme="majorBidi" w:cstheme="majorBidi"/>
                <w:b w:val="0"/>
                <w:bCs w:val="0"/>
                <w:color w:val="000000"/>
                <w:sz w:val="16"/>
                <w:szCs w:val="16"/>
              </w:rPr>
            </w:pPr>
            <w:r w:rsidRPr="001D18F4">
              <w:rPr>
                <w:rFonts w:asciiTheme="majorBidi" w:hAnsiTheme="majorBidi" w:cstheme="majorBidi"/>
                <w:b w:val="0"/>
                <w:bCs w:val="0"/>
                <w:color w:val="000000"/>
                <w:sz w:val="16"/>
                <w:szCs w:val="16"/>
              </w:rPr>
              <w:t>Associated Findings</w:t>
            </w:r>
          </w:p>
        </w:tc>
        <w:tc>
          <w:tcPr>
            <w:tcW w:w="1991" w:type="pct"/>
            <w:vAlign w:val="center"/>
            <w:hideMark/>
          </w:tcPr>
          <w:p w14:paraId="0E4C560D" w14:textId="0E631E43"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Texture (GLRLM): GLRLM_SRE, GLRLM_LRE, GLRLM_GLN, GLRLM_GLNN, GLRLM_RLN, GLRLM_RLNN, GLRLM_RP, GLRLM_GLV, GLRLM_RV, GLRLM_REn, GLRLM_LGLRE, GLRLM_HGLRE, GLRLM_SRLGLE, GLRLM_SRHGLE, GLRLM_LRLGLE, GLRLM_LRHGLE;</w:t>
            </w:r>
          </w:p>
        </w:tc>
        <w:tc>
          <w:tcPr>
            <w:tcW w:w="660" w:type="pct"/>
            <w:vMerge w:val="restart"/>
            <w:vAlign w:val="center"/>
            <w:hideMark/>
          </w:tcPr>
          <w:p w14:paraId="218DDBBC"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Entropy (first-order)</w:t>
            </w:r>
          </w:p>
        </w:tc>
        <w:tc>
          <w:tcPr>
            <w:tcW w:w="823" w:type="pct"/>
            <w:vMerge w:val="restart"/>
            <w:vAlign w:val="center"/>
            <w:hideMark/>
          </w:tcPr>
          <w:p w14:paraId="5A3378D0"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Uncertainty of intensity distribution—higher with heterogeneous perinodular changes.</w:t>
            </w:r>
          </w:p>
        </w:tc>
        <w:tc>
          <w:tcPr>
            <w:tcW w:w="726" w:type="pct"/>
            <w:vMerge w:val="restart"/>
            <w:vAlign w:val="center"/>
            <w:hideMark/>
          </w:tcPr>
          <w:p w14:paraId="03AEA247"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Elevated FO_En in rim region signifies lymphadenopathy or pleural thickening → upgrade to Cat 4X.</w:t>
            </w:r>
          </w:p>
        </w:tc>
      </w:tr>
      <w:tr w:rsidR="00857E43" w:rsidRPr="001D18F4" w14:paraId="4B50C7DB" w14:textId="77777777" w:rsidTr="005343B9">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800" w:type="pct"/>
            <w:vMerge/>
            <w:vAlign w:val="center"/>
            <w:hideMark/>
          </w:tcPr>
          <w:p w14:paraId="16DD10A4" w14:textId="77777777" w:rsidR="00857E43" w:rsidRPr="001D18F4" w:rsidRDefault="00857E43" w:rsidP="00241F54">
            <w:pPr>
              <w:jc w:val="center"/>
              <w:rPr>
                <w:rFonts w:asciiTheme="majorBidi" w:hAnsiTheme="majorBidi" w:cstheme="majorBidi"/>
                <w:b w:val="0"/>
                <w:bCs w:val="0"/>
                <w:color w:val="000000"/>
                <w:sz w:val="16"/>
                <w:szCs w:val="16"/>
              </w:rPr>
            </w:pPr>
          </w:p>
        </w:tc>
        <w:tc>
          <w:tcPr>
            <w:tcW w:w="1991" w:type="pct"/>
            <w:vAlign w:val="center"/>
            <w:hideMark/>
          </w:tcPr>
          <w:p w14:paraId="39D423CB" w14:textId="2F533843"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GLSZM: GLSZM_SAE, GLSZM_LAE, GLSZM_GLN, GLSZM_GLNN, GLSZM_SZN, GLSZM_SZNN, GLSZM_ZP, GLSZM_GLV, GLSZM_ZV, GLSZM_ZE, GLSZM_LGLZE, GLSZM_HGLZE, GLSZM_SALGLE, GLSZM_SAHGLE, GLSZM_LALGLE, GLSZM_LAHGLE;</w:t>
            </w:r>
          </w:p>
        </w:tc>
        <w:tc>
          <w:tcPr>
            <w:tcW w:w="660" w:type="pct"/>
            <w:vMerge/>
            <w:vAlign w:val="center"/>
            <w:hideMark/>
          </w:tcPr>
          <w:p w14:paraId="1A6DEFC6"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p>
        </w:tc>
        <w:tc>
          <w:tcPr>
            <w:tcW w:w="823" w:type="pct"/>
            <w:vMerge/>
            <w:vAlign w:val="center"/>
            <w:hideMark/>
          </w:tcPr>
          <w:p w14:paraId="06944E48"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p>
        </w:tc>
        <w:tc>
          <w:tcPr>
            <w:tcW w:w="726" w:type="pct"/>
            <w:vMerge/>
            <w:vAlign w:val="center"/>
            <w:hideMark/>
          </w:tcPr>
          <w:p w14:paraId="028BE159"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p>
        </w:tc>
      </w:tr>
      <w:tr w:rsidR="00857E43" w:rsidRPr="001D18F4" w14:paraId="1DD9839C" w14:textId="77777777" w:rsidTr="005343B9">
        <w:trPr>
          <w:trHeight w:val="192"/>
        </w:trPr>
        <w:tc>
          <w:tcPr>
            <w:cnfStyle w:val="001000000000" w:firstRow="0" w:lastRow="0" w:firstColumn="1" w:lastColumn="0" w:oddVBand="0" w:evenVBand="0" w:oddHBand="0" w:evenHBand="0" w:firstRowFirstColumn="0" w:firstRowLastColumn="0" w:lastRowFirstColumn="0" w:lastRowLastColumn="0"/>
            <w:tcW w:w="800" w:type="pct"/>
            <w:vMerge/>
            <w:vAlign w:val="center"/>
            <w:hideMark/>
          </w:tcPr>
          <w:p w14:paraId="7510030F" w14:textId="77777777" w:rsidR="00857E43" w:rsidRPr="001D18F4" w:rsidRDefault="00857E43" w:rsidP="00241F54">
            <w:pPr>
              <w:jc w:val="center"/>
              <w:rPr>
                <w:rFonts w:asciiTheme="majorBidi" w:hAnsiTheme="majorBidi" w:cstheme="majorBidi"/>
                <w:b w:val="0"/>
                <w:bCs w:val="0"/>
                <w:color w:val="000000"/>
                <w:sz w:val="16"/>
                <w:szCs w:val="16"/>
              </w:rPr>
            </w:pPr>
          </w:p>
        </w:tc>
        <w:tc>
          <w:tcPr>
            <w:tcW w:w="1991" w:type="pct"/>
            <w:vAlign w:val="center"/>
            <w:hideMark/>
          </w:tcPr>
          <w:p w14:paraId="025259E1" w14:textId="4E677486"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NGTDM: NGTDM_Coar, NGTDM_Con, NGTDM_B, NGTDM_Comp, NGTDM_S;</w:t>
            </w:r>
          </w:p>
        </w:tc>
        <w:tc>
          <w:tcPr>
            <w:tcW w:w="660" w:type="pct"/>
            <w:vMerge/>
            <w:vAlign w:val="center"/>
            <w:hideMark/>
          </w:tcPr>
          <w:p w14:paraId="2C4EB0EE"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p>
        </w:tc>
        <w:tc>
          <w:tcPr>
            <w:tcW w:w="823" w:type="pct"/>
            <w:vMerge/>
            <w:vAlign w:val="center"/>
            <w:hideMark/>
          </w:tcPr>
          <w:p w14:paraId="61E66A09"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p>
        </w:tc>
        <w:tc>
          <w:tcPr>
            <w:tcW w:w="726" w:type="pct"/>
            <w:vMerge/>
            <w:vAlign w:val="center"/>
            <w:hideMark/>
          </w:tcPr>
          <w:p w14:paraId="5F7EC85D" w14:textId="77777777" w:rsidR="00857E43" w:rsidRPr="001D18F4" w:rsidRDefault="00857E43" w:rsidP="00241F5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p>
        </w:tc>
      </w:tr>
      <w:tr w:rsidR="00857E43" w:rsidRPr="001D18F4" w14:paraId="2DF545F1" w14:textId="77777777" w:rsidTr="005343B9">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800" w:type="pct"/>
            <w:vMerge/>
            <w:vAlign w:val="center"/>
            <w:hideMark/>
          </w:tcPr>
          <w:p w14:paraId="3C9AB9C2" w14:textId="77777777" w:rsidR="00857E43" w:rsidRPr="001D18F4" w:rsidRDefault="00857E43" w:rsidP="00241F54">
            <w:pPr>
              <w:jc w:val="center"/>
              <w:rPr>
                <w:rFonts w:asciiTheme="majorBidi" w:hAnsiTheme="majorBidi" w:cstheme="majorBidi"/>
                <w:b w:val="0"/>
                <w:bCs w:val="0"/>
                <w:color w:val="000000"/>
                <w:sz w:val="16"/>
                <w:szCs w:val="16"/>
              </w:rPr>
            </w:pPr>
          </w:p>
        </w:tc>
        <w:tc>
          <w:tcPr>
            <w:tcW w:w="1991" w:type="pct"/>
            <w:vAlign w:val="center"/>
            <w:hideMark/>
          </w:tcPr>
          <w:p w14:paraId="16D52943" w14:textId="6B03418A"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GLDM: GLDM_SDE, GLDM_LDE, GLDM_GLN, GLDM_DN, GLDM_DNN, GLDM_GLV, GLDM_DV, GLDM_DeEn, GLDM_LGLE, GLDM_HGLE, GLDM_SDLGLE, GLDM_SDHGLE, GLDM_LDLGLE, GLDM_LDHGLE</w:t>
            </w:r>
          </w:p>
        </w:tc>
        <w:tc>
          <w:tcPr>
            <w:tcW w:w="660" w:type="pct"/>
            <w:vMerge/>
            <w:vAlign w:val="center"/>
            <w:hideMark/>
          </w:tcPr>
          <w:p w14:paraId="0A9CA465"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p>
        </w:tc>
        <w:tc>
          <w:tcPr>
            <w:tcW w:w="823" w:type="pct"/>
            <w:vMerge/>
            <w:vAlign w:val="center"/>
            <w:hideMark/>
          </w:tcPr>
          <w:p w14:paraId="365B5AE2"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p>
        </w:tc>
        <w:tc>
          <w:tcPr>
            <w:tcW w:w="726" w:type="pct"/>
            <w:vMerge/>
            <w:vAlign w:val="center"/>
            <w:hideMark/>
          </w:tcPr>
          <w:p w14:paraId="69BA5FAC" w14:textId="77777777" w:rsidR="00857E43" w:rsidRPr="001D18F4" w:rsidRDefault="00857E43" w:rsidP="00241F5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p>
        </w:tc>
      </w:tr>
    </w:tbl>
    <w:p w14:paraId="7AAF4B50" w14:textId="77777777" w:rsidR="008E3C90" w:rsidRDefault="008E3C90" w:rsidP="00992555">
      <w:pPr>
        <w:rPr>
          <w:rFonts w:asciiTheme="majorBidi" w:hAnsiTheme="majorBidi" w:cstheme="majorBidi"/>
          <w:b/>
          <w:bCs/>
        </w:rPr>
      </w:pPr>
    </w:p>
    <w:p w14:paraId="1F823A43" w14:textId="7043F8DE" w:rsidR="00992555" w:rsidRDefault="00EF2B67" w:rsidP="00992555">
      <w:pPr>
        <w:rPr>
          <w:rFonts w:asciiTheme="majorBidi" w:hAnsiTheme="majorBidi" w:cstheme="majorBidi"/>
          <w:color w:val="000000"/>
          <w:sz w:val="18"/>
          <w:szCs w:val="18"/>
          <w:shd w:val="clear" w:color="auto" w:fill="FFFFFF"/>
        </w:rPr>
      </w:pPr>
      <w:r w:rsidRPr="00003235">
        <w:rPr>
          <w:rFonts w:asciiTheme="majorBidi" w:hAnsiTheme="majorBidi" w:cstheme="majorBidi"/>
          <w:b/>
          <w:bCs/>
          <w:color w:val="000000"/>
          <w:sz w:val="18"/>
          <w:szCs w:val="18"/>
          <w:shd w:val="clear" w:color="auto" w:fill="FFFFFF"/>
        </w:rPr>
        <w:t xml:space="preserve">Supplemental Table S3: </w:t>
      </w:r>
      <w:r w:rsidRPr="00003235">
        <w:rPr>
          <w:rFonts w:asciiTheme="majorBidi" w:hAnsiTheme="majorBidi" w:cstheme="majorBidi"/>
          <w:color w:val="000000"/>
          <w:sz w:val="18"/>
          <w:szCs w:val="18"/>
          <w:shd w:val="clear" w:color="auto" w:fill="FFFFFF"/>
        </w:rPr>
        <w:t>ExpertLRAD Dictionary Mapping of Selected Radiomic Features to Lung‐RADS Semantic Categories and explanation of its relationship</w:t>
      </w:r>
    </w:p>
    <w:p w14:paraId="48352D46" w14:textId="77777777" w:rsidR="005343B9" w:rsidRPr="00003235" w:rsidRDefault="005343B9" w:rsidP="00992555">
      <w:pPr>
        <w:rPr>
          <w:rFonts w:asciiTheme="majorBidi" w:hAnsiTheme="majorBidi" w:cstheme="majorBidi"/>
          <w:b/>
          <w:bCs/>
          <w:color w:val="000000"/>
          <w:sz w:val="18"/>
          <w:szCs w:val="18"/>
          <w:shd w:val="clear" w:color="auto" w:fill="FFFFFF"/>
        </w:rPr>
      </w:pPr>
    </w:p>
    <w:tbl>
      <w:tblPr>
        <w:tblStyle w:val="PlainTable2"/>
        <w:tblW w:w="5000" w:type="pct"/>
        <w:tblLook w:val="04A0" w:firstRow="1" w:lastRow="0" w:firstColumn="1" w:lastColumn="0" w:noHBand="0" w:noVBand="1"/>
      </w:tblPr>
      <w:tblGrid>
        <w:gridCol w:w="963"/>
        <w:gridCol w:w="2056"/>
        <w:gridCol w:w="2482"/>
        <w:gridCol w:w="1793"/>
        <w:gridCol w:w="3506"/>
      </w:tblGrid>
      <w:tr w:rsidR="00857E43" w:rsidRPr="001D18F4" w14:paraId="7B1884F4" w14:textId="77777777" w:rsidTr="005343B9">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427748AC" w14:textId="037B3A35" w:rsidR="00857E43" w:rsidRPr="001D18F4" w:rsidRDefault="00857E43" w:rsidP="00700DA4">
            <w:pPr>
              <w:jc w:val="center"/>
              <w:rPr>
                <w:rFonts w:asciiTheme="majorBidi" w:hAnsiTheme="majorBidi" w:cstheme="majorBidi"/>
                <w:b w:val="0"/>
                <w:bCs w:val="0"/>
                <w:color w:val="000000" w:themeColor="text1"/>
                <w:sz w:val="16"/>
                <w:szCs w:val="16"/>
              </w:rPr>
            </w:pPr>
            <w:r w:rsidRPr="001D18F4">
              <w:rPr>
                <w:rFonts w:asciiTheme="majorBidi" w:hAnsiTheme="majorBidi" w:cstheme="majorBidi"/>
                <w:color w:val="000000" w:themeColor="text1"/>
                <w:sz w:val="16"/>
                <w:szCs w:val="16"/>
              </w:rPr>
              <w:t>Category</w:t>
            </w:r>
          </w:p>
        </w:tc>
        <w:tc>
          <w:tcPr>
            <w:tcW w:w="952" w:type="pct"/>
            <w:vAlign w:val="center"/>
            <w:hideMark/>
          </w:tcPr>
          <w:p w14:paraId="752BCBB1" w14:textId="77777777" w:rsidR="00857E43" w:rsidRPr="001D18F4" w:rsidRDefault="00857E43" w:rsidP="00700DA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16"/>
                <w:szCs w:val="16"/>
              </w:rPr>
            </w:pPr>
            <w:r w:rsidRPr="001D18F4">
              <w:rPr>
                <w:rFonts w:asciiTheme="majorBidi" w:hAnsiTheme="majorBidi" w:cstheme="majorBidi"/>
                <w:color w:val="000000" w:themeColor="text1"/>
                <w:sz w:val="16"/>
                <w:szCs w:val="16"/>
              </w:rPr>
              <w:t>Semantic Descriptor</w:t>
            </w:r>
          </w:p>
        </w:tc>
        <w:tc>
          <w:tcPr>
            <w:tcW w:w="1149" w:type="pct"/>
            <w:vAlign w:val="center"/>
            <w:hideMark/>
          </w:tcPr>
          <w:p w14:paraId="2C324402" w14:textId="77777777" w:rsidR="00857E43" w:rsidRPr="001D18F4" w:rsidRDefault="00857E43" w:rsidP="00700DA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16"/>
                <w:szCs w:val="16"/>
              </w:rPr>
            </w:pPr>
            <w:r w:rsidRPr="001D18F4">
              <w:rPr>
                <w:rFonts w:asciiTheme="majorBidi" w:hAnsiTheme="majorBidi" w:cstheme="majorBidi"/>
                <w:color w:val="000000" w:themeColor="text1"/>
                <w:sz w:val="16"/>
                <w:szCs w:val="16"/>
              </w:rPr>
              <w:t>Radiomic Feature</w:t>
            </w:r>
          </w:p>
        </w:tc>
        <w:tc>
          <w:tcPr>
            <w:tcW w:w="830" w:type="pct"/>
            <w:vAlign w:val="center"/>
            <w:hideMark/>
          </w:tcPr>
          <w:p w14:paraId="1F67BA33" w14:textId="77777777" w:rsidR="00857E43" w:rsidRPr="001D18F4" w:rsidRDefault="00857E43" w:rsidP="00700DA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16"/>
                <w:szCs w:val="16"/>
              </w:rPr>
            </w:pPr>
            <w:r w:rsidRPr="001D18F4">
              <w:rPr>
                <w:rFonts w:asciiTheme="majorBidi" w:hAnsiTheme="majorBidi" w:cstheme="majorBidi"/>
                <w:color w:val="000000" w:themeColor="text1"/>
                <w:sz w:val="16"/>
                <w:szCs w:val="16"/>
              </w:rPr>
              <w:t>Meaning</w:t>
            </w:r>
          </w:p>
        </w:tc>
        <w:tc>
          <w:tcPr>
            <w:tcW w:w="1623" w:type="pct"/>
            <w:vAlign w:val="center"/>
            <w:hideMark/>
          </w:tcPr>
          <w:p w14:paraId="695EF637" w14:textId="32ACB38A" w:rsidR="00857E43" w:rsidRPr="001D18F4" w:rsidRDefault="001D18F4" w:rsidP="00700DA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16"/>
                <w:szCs w:val="16"/>
              </w:rPr>
            </w:pPr>
            <w:r w:rsidRPr="001D18F4">
              <w:rPr>
                <w:rFonts w:asciiTheme="majorBidi" w:hAnsiTheme="majorBidi" w:cstheme="majorBidi"/>
                <w:color w:val="000000" w:themeColor="text1"/>
                <w:sz w:val="16"/>
                <w:szCs w:val="16"/>
              </w:rPr>
              <w:t>Relationship</w:t>
            </w:r>
          </w:p>
        </w:tc>
      </w:tr>
      <w:tr w:rsidR="00857E43" w:rsidRPr="001D18F4" w14:paraId="40B71928"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6B170D6"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1042A6AD"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Shape: Round / Oval</w:t>
            </w:r>
          </w:p>
        </w:tc>
        <w:tc>
          <w:tcPr>
            <w:tcW w:w="1149" w:type="pct"/>
            <w:vAlign w:val="center"/>
            <w:hideMark/>
          </w:tcPr>
          <w:p w14:paraId="6800E1BC" w14:textId="3186AE8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Sphericity (3D)(SF_Sp)</w:t>
            </w:r>
          </w:p>
        </w:tc>
        <w:tc>
          <w:tcPr>
            <w:tcW w:w="830" w:type="pct"/>
            <w:vAlign w:val="center"/>
            <w:hideMark/>
          </w:tcPr>
          <w:p w14:paraId="04E0CD8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Roundness vs. sphere (0–1)</w:t>
            </w:r>
          </w:p>
        </w:tc>
        <w:tc>
          <w:tcPr>
            <w:tcW w:w="1623" w:type="pct"/>
            <w:vAlign w:val="center"/>
            <w:hideMark/>
          </w:tcPr>
          <w:p w14:paraId="3F3A7569"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Measures how closely the nodule’s 3D shape matches an ideal sphere; higher values indicate a smooth, benign‐appearing round nodule.</w:t>
            </w:r>
          </w:p>
        </w:tc>
      </w:tr>
      <w:tr w:rsidR="00857E43" w:rsidRPr="001D18F4" w14:paraId="72A6CB55"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4B4CEF78"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618BA39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Shape: Round / Oval</w:t>
            </w:r>
          </w:p>
        </w:tc>
        <w:tc>
          <w:tcPr>
            <w:tcW w:w="1149" w:type="pct"/>
            <w:vAlign w:val="center"/>
            <w:hideMark/>
          </w:tcPr>
          <w:p w14:paraId="450EA467" w14:textId="16E23348"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Compactness1 (3D)(SF_Com1)</w:t>
            </w:r>
          </w:p>
        </w:tc>
        <w:tc>
          <w:tcPr>
            <w:tcW w:w="830" w:type="pct"/>
            <w:vAlign w:val="center"/>
            <w:hideMark/>
          </w:tcPr>
          <w:p w14:paraId="5DC5DC22"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Compactness relative to sphere</w:t>
            </w:r>
          </w:p>
        </w:tc>
        <w:tc>
          <w:tcPr>
            <w:tcW w:w="1623" w:type="pct"/>
            <w:vAlign w:val="center"/>
            <w:hideMark/>
          </w:tcPr>
          <w:p w14:paraId="0A9AE098"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Compares volume to surface area versus a sphere; higher values mean the lesion is efficiently packed like a sphere (benign).</w:t>
            </w:r>
          </w:p>
        </w:tc>
      </w:tr>
      <w:tr w:rsidR="00857E43" w:rsidRPr="001D18F4" w14:paraId="5D4BFB55"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3D36ADA"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60B6E11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Shape: Round / Oval</w:t>
            </w:r>
          </w:p>
        </w:tc>
        <w:tc>
          <w:tcPr>
            <w:tcW w:w="1149" w:type="pct"/>
            <w:vAlign w:val="center"/>
            <w:hideMark/>
          </w:tcPr>
          <w:p w14:paraId="62E73761" w14:textId="7ED61A82"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Compactness2 (3D)(SF_Com2)</w:t>
            </w:r>
          </w:p>
        </w:tc>
        <w:tc>
          <w:tcPr>
            <w:tcW w:w="830" w:type="pct"/>
            <w:vAlign w:val="center"/>
            <w:hideMark/>
          </w:tcPr>
          <w:p w14:paraId="5B446B43"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Alternate compactness metric</w:t>
            </w:r>
          </w:p>
        </w:tc>
        <w:tc>
          <w:tcPr>
            <w:tcW w:w="1623" w:type="pct"/>
            <w:vAlign w:val="center"/>
            <w:hideMark/>
          </w:tcPr>
          <w:p w14:paraId="6AD3E02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A second, scale-independent measure of shape compactness; like Com1, higher readings reflect a round, low-risk morphology.</w:t>
            </w:r>
          </w:p>
        </w:tc>
      </w:tr>
      <w:tr w:rsidR="00857E43" w:rsidRPr="001D18F4" w14:paraId="2CA30E54"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46F5D5C1"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601619D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Shape: Round / Oval</w:t>
            </w:r>
          </w:p>
        </w:tc>
        <w:tc>
          <w:tcPr>
            <w:tcW w:w="1149" w:type="pct"/>
            <w:vAlign w:val="center"/>
            <w:hideMark/>
          </w:tcPr>
          <w:p w14:paraId="4AEA26F2" w14:textId="76C3E6C2"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Surface‐Area to Volume Ratio(SF_SAVR)</w:t>
            </w:r>
          </w:p>
        </w:tc>
        <w:tc>
          <w:tcPr>
            <w:tcW w:w="830" w:type="pct"/>
            <w:vAlign w:val="center"/>
            <w:hideMark/>
          </w:tcPr>
          <w:p w14:paraId="13E4E39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SA/V; lower → more compact</w:t>
            </w:r>
          </w:p>
        </w:tc>
        <w:tc>
          <w:tcPr>
            <w:tcW w:w="1623" w:type="pct"/>
            <w:vAlign w:val="center"/>
            <w:hideMark/>
          </w:tcPr>
          <w:p w14:paraId="4EFBCAE2"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xml:space="preserve">The ratio of surface area to volume increases with spikiness; a </w:t>
            </w:r>
            <w:r w:rsidRPr="001D18F4">
              <w:rPr>
                <w:rFonts w:asciiTheme="majorBidi" w:hAnsiTheme="majorBidi" w:cstheme="majorBidi"/>
                <w:b/>
                <w:bCs/>
                <w:color w:val="000000"/>
                <w:sz w:val="16"/>
                <w:szCs w:val="16"/>
              </w:rPr>
              <w:t>lower</w:t>
            </w:r>
            <w:r w:rsidRPr="001D18F4">
              <w:rPr>
                <w:rFonts w:asciiTheme="majorBidi" w:hAnsiTheme="majorBidi" w:cstheme="majorBidi"/>
                <w:color w:val="000000"/>
                <w:sz w:val="16"/>
                <w:szCs w:val="16"/>
              </w:rPr>
              <w:t xml:space="preserve"> ratio means the lesion is compact and sphere-like, typical of benign nodules.</w:t>
            </w:r>
          </w:p>
        </w:tc>
      </w:tr>
      <w:tr w:rsidR="00857E43" w:rsidRPr="001D18F4" w14:paraId="0D7908EB"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6697846"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1737BB0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Shape: Round / Oval</w:t>
            </w:r>
          </w:p>
        </w:tc>
        <w:tc>
          <w:tcPr>
            <w:tcW w:w="1149" w:type="pct"/>
            <w:vAlign w:val="center"/>
            <w:hideMark/>
          </w:tcPr>
          <w:p w14:paraId="500F75E1"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Maximum 3D Diameter(SF_Max3DD)</w:t>
            </w:r>
          </w:p>
        </w:tc>
        <w:tc>
          <w:tcPr>
            <w:tcW w:w="830" w:type="pct"/>
            <w:vAlign w:val="center"/>
            <w:hideMark/>
          </w:tcPr>
          <w:p w14:paraId="7C2A0D41"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Largest surface distance</w:t>
            </w:r>
          </w:p>
        </w:tc>
        <w:tc>
          <w:tcPr>
            <w:tcW w:w="1623" w:type="pct"/>
            <w:vAlign w:val="center"/>
            <w:hideMark/>
          </w:tcPr>
          <w:p w14:paraId="744B729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The maximum Euclidean distance across the lesion surface; if &lt;4 mm the nodule is classified “tiny,” indicating very low malignancy risk.</w:t>
            </w:r>
          </w:p>
        </w:tc>
      </w:tr>
      <w:tr w:rsidR="00857E43" w:rsidRPr="001D18F4" w14:paraId="70192291"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757DA09"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00549418"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Margin: Smooth</w:t>
            </w:r>
          </w:p>
        </w:tc>
        <w:tc>
          <w:tcPr>
            <w:tcW w:w="1149" w:type="pct"/>
            <w:vAlign w:val="center"/>
            <w:hideMark/>
          </w:tcPr>
          <w:p w14:paraId="47C203E8"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Inverse Difference Moment(GLCM_IDM)</w:t>
            </w:r>
          </w:p>
        </w:tc>
        <w:tc>
          <w:tcPr>
            <w:tcW w:w="830" w:type="pct"/>
            <w:vAlign w:val="center"/>
            <w:hideMark/>
          </w:tcPr>
          <w:p w14:paraId="791CB50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Local homogeneity</w:t>
            </w:r>
          </w:p>
        </w:tc>
        <w:tc>
          <w:tcPr>
            <w:tcW w:w="1623" w:type="pct"/>
            <w:vAlign w:val="center"/>
            <w:hideMark/>
          </w:tcPr>
          <w:p w14:paraId="5D5A6673"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Highlights near-diagonal entries in the GLCM; high values indicate uniform neighbor intensities along the border, consistent with smooth, benign margins.</w:t>
            </w:r>
          </w:p>
        </w:tc>
      </w:tr>
      <w:tr w:rsidR="00857E43" w:rsidRPr="001D18F4" w14:paraId="392B6083"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F4FF7E2"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09E55F7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Margin: Smooth</w:t>
            </w:r>
          </w:p>
        </w:tc>
        <w:tc>
          <w:tcPr>
            <w:tcW w:w="1149" w:type="pct"/>
            <w:vAlign w:val="center"/>
            <w:hideMark/>
          </w:tcPr>
          <w:p w14:paraId="3F8BFAD9"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Inverse Difference Normalized(GLCM_IDN)</w:t>
            </w:r>
          </w:p>
        </w:tc>
        <w:tc>
          <w:tcPr>
            <w:tcW w:w="830" w:type="pct"/>
            <w:vAlign w:val="center"/>
            <w:hideMark/>
          </w:tcPr>
          <w:p w14:paraId="78232D85"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Normalized homogeneity</w:t>
            </w:r>
          </w:p>
        </w:tc>
        <w:tc>
          <w:tcPr>
            <w:tcW w:w="1623" w:type="pct"/>
            <w:vAlign w:val="center"/>
            <w:hideMark/>
          </w:tcPr>
          <w:p w14:paraId="78964D9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Similar to IDM but normalized by gray-level count; high IDN again signals very even, well-defined margins.</w:t>
            </w:r>
          </w:p>
        </w:tc>
      </w:tr>
      <w:tr w:rsidR="00857E43" w:rsidRPr="001D18F4" w14:paraId="36320FFF"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50226685"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52C3C97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Margin: Smooth</w:t>
            </w:r>
          </w:p>
        </w:tc>
        <w:tc>
          <w:tcPr>
            <w:tcW w:w="1149" w:type="pct"/>
            <w:vAlign w:val="center"/>
            <w:hideMark/>
          </w:tcPr>
          <w:p w14:paraId="3C15C40F"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Cluster Shade(GLCM_CS)</w:t>
            </w:r>
          </w:p>
        </w:tc>
        <w:tc>
          <w:tcPr>
            <w:tcW w:w="830" w:type="pct"/>
            <w:vAlign w:val="center"/>
            <w:hideMark/>
          </w:tcPr>
          <w:p w14:paraId="2A0F52C2"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GLCM skewness influence</w:t>
            </w:r>
          </w:p>
        </w:tc>
        <w:tc>
          <w:tcPr>
            <w:tcW w:w="1623" w:type="pct"/>
            <w:vAlign w:val="center"/>
            <w:hideMark/>
          </w:tcPr>
          <w:p w14:paraId="28E6B81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Measures skewness of GLCM; low cluster shade indicates symmetric intensity clusters—found in uniform, benign calcification patterns.</w:t>
            </w:r>
          </w:p>
        </w:tc>
      </w:tr>
      <w:tr w:rsidR="00857E43" w:rsidRPr="001D18F4" w14:paraId="12186E36"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399C6CD9"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4108980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Size: Tiny (&lt;4 mm) / Small (4–6 mm)</w:t>
            </w:r>
          </w:p>
        </w:tc>
        <w:tc>
          <w:tcPr>
            <w:tcW w:w="1149" w:type="pct"/>
            <w:vAlign w:val="center"/>
            <w:hideMark/>
          </w:tcPr>
          <w:p w14:paraId="01BDEEB0" w14:textId="5478924B"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Voxel Volume (3D)(SF_VV)</w:t>
            </w:r>
          </w:p>
        </w:tc>
        <w:tc>
          <w:tcPr>
            <w:tcW w:w="830" w:type="pct"/>
            <w:vAlign w:val="center"/>
            <w:hideMark/>
          </w:tcPr>
          <w:p w14:paraId="6E7A7FBF"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ROI volume</w:t>
            </w:r>
          </w:p>
        </w:tc>
        <w:tc>
          <w:tcPr>
            <w:tcW w:w="1623" w:type="pct"/>
            <w:vAlign w:val="center"/>
            <w:hideMark/>
          </w:tcPr>
          <w:p w14:paraId="6C83A9DD"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Total segmented volume, computed as voxel count × voxel size; small volumes correspond to tiny or small nodules requiring only routine follow-up.</w:t>
            </w:r>
          </w:p>
        </w:tc>
      </w:tr>
      <w:tr w:rsidR="00857E43" w:rsidRPr="001D18F4" w14:paraId="045F867F"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4E48C8E3"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594F79F1"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Size: Tiny (&lt;4 mm) / Small (4–6 mm)</w:t>
            </w:r>
          </w:p>
        </w:tc>
        <w:tc>
          <w:tcPr>
            <w:tcW w:w="1149" w:type="pct"/>
            <w:vAlign w:val="center"/>
            <w:hideMark/>
          </w:tcPr>
          <w:p w14:paraId="5905E558" w14:textId="30911DCA"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Mesh Volume (3D)(SF_MV)</w:t>
            </w:r>
          </w:p>
        </w:tc>
        <w:tc>
          <w:tcPr>
            <w:tcW w:w="830" w:type="pct"/>
            <w:vAlign w:val="center"/>
            <w:hideMark/>
          </w:tcPr>
          <w:p w14:paraId="523C5628"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Mesh-derived volume</w:t>
            </w:r>
          </w:p>
        </w:tc>
        <w:tc>
          <w:tcPr>
            <w:tcW w:w="1623" w:type="pct"/>
            <w:vAlign w:val="center"/>
            <w:hideMark/>
          </w:tcPr>
          <w:p w14:paraId="6FC219AA"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Calculates volume from a 3D surface mesh; serves as a cross-check on VV, with low MV likewise indicating a small, low-risk lesion.</w:t>
            </w:r>
          </w:p>
        </w:tc>
      </w:tr>
      <w:tr w:rsidR="00857E43" w:rsidRPr="001D18F4" w14:paraId="47C192A1"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5FB773CD"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lastRenderedPageBreak/>
              <w:t>Category 1-2</w:t>
            </w:r>
          </w:p>
        </w:tc>
        <w:tc>
          <w:tcPr>
            <w:tcW w:w="952" w:type="pct"/>
            <w:vAlign w:val="center"/>
            <w:hideMark/>
          </w:tcPr>
          <w:p w14:paraId="1BE26C1F"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Size: Tiny (&lt;4 mm) / Small (4–6 mm)</w:t>
            </w:r>
          </w:p>
        </w:tc>
        <w:tc>
          <w:tcPr>
            <w:tcW w:w="1149" w:type="pct"/>
            <w:vAlign w:val="center"/>
            <w:hideMark/>
          </w:tcPr>
          <w:p w14:paraId="585AA34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Maximum 3D Diameter(SF_Max3DD)</w:t>
            </w:r>
          </w:p>
        </w:tc>
        <w:tc>
          <w:tcPr>
            <w:tcW w:w="830" w:type="pct"/>
            <w:vAlign w:val="center"/>
            <w:hideMark/>
          </w:tcPr>
          <w:p w14:paraId="28368F3F"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Largest span in any direction</w:t>
            </w:r>
          </w:p>
        </w:tc>
        <w:tc>
          <w:tcPr>
            <w:tcW w:w="1623" w:type="pct"/>
            <w:vAlign w:val="center"/>
            <w:hideMark/>
          </w:tcPr>
          <w:p w14:paraId="50221D0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Repeats the maximal Feret diameter measure; confirms tiny classification when under 4 mm.</w:t>
            </w:r>
          </w:p>
        </w:tc>
      </w:tr>
      <w:tr w:rsidR="00857E43" w:rsidRPr="001D18F4" w14:paraId="4E192131"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6822FD95"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216727D4"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Calcification: Central / Popcorn / Diffuse</w:t>
            </w:r>
          </w:p>
        </w:tc>
        <w:tc>
          <w:tcPr>
            <w:tcW w:w="1149" w:type="pct"/>
            <w:vAlign w:val="center"/>
            <w:hideMark/>
          </w:tcPr>
          <w:p w14:paraId="0D6FBCAC"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Cluster Prominence(GLCM_CP)</w:t>
            </w:r>
          </w:p>
        </w:tc>
        <w:tc>
          <w:tcPr>
            <w:tcW w:w="830" w:type="pct"/>
            <w:vAlign w:val="center"/>
            <w:hideMark/>
          </w:tcPr>
          <w:p w14:paraId="12A5BEFF"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GLCM skewness/asymmetry</w:t>
            </w:r>
          </w:p>
        </w:tc>
        <w:tc>
          <w:tcPr>
            <w:tcW w:w="1623" w:type="pct"/>
            <w:vAlign w:val="center"/>
            <w:hideMark/>
          </w:tcPr>
          <w:p w14:paraId="7B9CEC1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cluster prominence reflects asymmetry in gray-level co-occurrence; certain benign calcification types (e.g., popcorn) produce characteristic CP profiles.</w:t>
            </w:r>
          </w:p>
        </w:tc>
      </w:tr>
      <w:tr w:rsidR="00857E43" w:rsidRPr="001D18F4" w14:paraId="3860C2D4"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351B268C"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6DA2A937"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Calcification: Central / Popcorn / Diffuse</w:t>
            </w:r>
          </w:p>
        </w:tc>
        <w:tc>
          <w:tcPr>
            <w:tcW w:w="1149" w:type="pct"/>
            <w:vAlign w:val="center"/>
            <w:hideMark/>
          </w:tcPr>
          <w:p w14:paraId="14429373"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Cluster Tendency(GLCM_CT)</w:t>
            </w:r>
          </w:p>
        </w:tc>
        <w:tc>
          <w:tcPr>
            <w:tcW w:w="830" w:type="pct"/>
            <w:vAlign w:val="center"/>
            <w:hideMark/>
          </w:tcPr>
          <w:p w14:paraId="591F6EFA"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Strength of clustering of similar gray levels</w:t>
            </w:r>
          </w:p>
        </w:tc>
        <w:tc>
          <w:tcPr>
            <w:tcW w:w="1623" w:type="pct"/>
            <w:vAlign w:val="center"/>
            <w:hideMark/>
          </w:tcPr>
          <w:p w14:paraId="25F1629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Quantifies the grouping of similar gray levels; a high CT indicates very uniform intensity clusters, matching benign “popcorn” or central calcifications.</w:t>
            </w:r>
          </w:p>
        </w:tc>
      </w:tr>
      <w:tr w:rsidR="00857E43" w:rsidRPr="001D18F4" w14:paraId="322C64CA"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31F15C8"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0A938089"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Calcification: Central / Popcorn / Diffuse</w:t>
            </w:r>
          </w:p>
        </w:tc>
        <w:tc>
          <w:tcPr>
            <w:tcW w:w="1149" w:type="pct"/>
            <w:vAlign w:val="center"/>
            <w:hideMark/>
          </w:tcPr>
          <w:p w14:paraId="57B6CA61"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Homogeneity(GLCM_IDMN)</w:t>
            </w:r>
          </w:p>
        </w:tc>
        <w:tc>
          <w:tcPr>
            <w:tcW w:w="830" w:type="pct"/>
            <w:vAlign w:val="center"/>
            <w:hideMark/>
          </w:tcPr>
          <w:p w14:paraId="1A7ED77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Local uniformity</w:t>
            </w:r>
          </w:p>
        </w:tc>
        <w:tc>
          <w:tcPr>
            <w:tcW w:w="1623" w:type="pct"/>
            <w:vAlign w:val="center"/>
            <w:hideMark/>
          </w:tcPr>
          <w:p w14:paraId="0F1BA242"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Normalized inverse difference moment; high IDMN highlights uniform intensities locally, consistent with evenly calcified benign nodules.</w:t>
            </w:r>
          </w:p>
        </w:tc>
      </w:tr>
      <w:tr w:rsidR="00857E43" w:rsidRPr="001D18F4" w14:paraId="4EE98278"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6C2376AB"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278C5D6F"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Internal: Fat density (hamartoma)</w:t>
            </w:r>
          </w:p>
        </w:tc>
        <w:tc>
          <w:tcPr>
            <w:tcW w:w="1149" w:type="pct"/>
            <w:vAlign w:val="center"/>
            <w:hideMark/>
          </w:tcPr>
          <w:p w14:paraId="4EE92099"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Low Gray-Level Zone Emphasis(GLSZM_LGLZE)</w:t>
            </w:r>
          </w:p>
        </w:tc>
        <w:tc>
          <w:tcPr>
            <w:tcW w:w="830" w:type="pct"/>
            <w:vAlign w:val="center"/>
            <w:hideMark/>
          </w:tcPr>
          <w:p w14:paraId="60946D0A"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Emphasis on low‐intensity zones</w:t>
            </w:r>
          </w:p>
        </w:tc>
        <w:tc>
          <w:tcPr>
            <w:tcW w:w="1623" w:type="pct"/>
            <w:vAlign w:val="center"/>
            <w:hideMark/>
          </w:tcPr>
          <w:p w14:paraId="39280235"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Emphasizes zones of low gray levels in the size-zone matrix; high LGLZE corresponds to dark, fat-density regions typical of hamartomas.</w:t>
            </w:r>
          </w:p>
        </w:tc>
      </w:tr>
      <w:tr w:rsidR="00857E43" w:rsidRPr="001D18F4" w14:paraId="14FEE298"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6F3F1FEA"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63B84A8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Internal: Fat density (hamartoma)</w:t>
            </w:r>
          </w:p>
        </w:tc>
        <w:tc>
          <w:tcPr>
            <w:tcW w:w="1149" w:type="pct"/>
            <w:vAlign w:val="center"/>
            <w:hideMark/>
          </w:tcPr>
          <w:p w14:paraId="30109E2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Small Area Low Gray-Level Emphasis(GLSZM_SALGLE)</w:t>
            </w:r>
          </w:p>
        </w:tc>
        <w:tc>
          <w:tcPr>
            <w:tcW w:w="830" w:type="pct"/>
            <w:vAlign w:val="center"/>
            <w:hideMark/>
          </w:tcPr>
          <w:p w14:paraId="088EED1F"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Small &amp; low‐intensity zones</w:t>
            </w:r>
          </w:p>
        </w:tc>
        <w:tc>
          <w:tcPr>
            <w:tcW w:w="1623" w:type="pct"/>
            <w:vAlign w:val="center"/>
            <w:hideMark/>
          </w:tcPr>
          <w:p w14:paraId="6E2B7A4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Focuses on small zones with low intensity; elevated SALGLE indicates tiny, dark foci such as fat or simple cysts.</w:t>
            </w:r>
          </w:p>
        </w:tc>
      </w:tr>
      <w:tr w:rsidR="00857E43" w:rsidRPr="001D18F4" w14:paraId="5DCCA25B"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1478ACF"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00A4D369"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Internal: Thin-walled cavity / Simple cyst</w:t>
            </w:r>
          </w:p>
        </w:tc>
        <w:tc>
          <w:tcPr>
            <w:tcW w:w="1149" w:type="pct"/>
            <w:vAlign w:val="center"/>
            <w:hideMark/>
          </w:tcPr>
          <w:p w14:paraId="4E4F1D10"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Variance(FO_V)</w:t>
            </w:r>
          </w:p>
        </w:tc>
        <w:tc>
          <w:tcPr>
            <w:tcW w:w="830" w:type="pct"/>
            <w:vAlign w:val="center"/>
            <w:hideMark/>
          </w:tcPr>
          <w:p w14:paraId="4C1AD850"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Spread of intensities</w:t>
            </w:r>
          </w:p>
        </w:tc>
        <w:tc>
          <w:tcPr>
            <w:tcW w:w="1623" w:type="pct"/>
            <w:vAlign w:val="center"/>
            <w:hideMark/>
          </w:tcPr>
          <w:p w14:paraId="3CE950C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Measures intensity spread; low variance indicates nearly uniform intensities—characteristic of simple, thin-walled cavities.</w:t>
            </w:r>
          </w:p>
        </w:tc>
      </w:tr>
      <w:tr w:rsidR="00857E43" w:rsidRPr="001D18F4" w14:paraId="1F74D296"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E7D6284"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7B39132D"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Internal: Thin-walled cavity / Simple cyst</w:t>
            </w:r>
          </w:p>
        </w:tc>
        <w:tc>
          <w:tcPr>
            <w:tcW w:w="1149" w:type="pct"/>
            <w:vAlign w:val="center"/>
            <w:hideMark/>
          </w:tcPr>
          <w:p w14:paraId="57A1B283"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Range(FO_R)</w:t>
            </w:r>
          </w:p>
        </w:tc>
        <w:tc>
          <w:tcPr>
            <w:tcW w:w="830" w:type="pct"/>
            <w:vAlign w:val="center"/>
            <w:hideMark/>
          </w:tcPr>
          <w:p w14:paraId="714A2D85"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Max–min intensity</w:t>
            </w:r>
          </w:p>
        </w:tc>
        <w:tc>
          <w:tcPr>
            <w:tcW w:w="1623" w:type="pct"/>
            <w:vAlign w:val="center"/>
            <w:hideMark/>
          </w:tcPr>
          <w:p w14:paraId="45C130AA"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Calculates the difference between maximum and minimum intensities; low Range further confirms uniform cavity interiors.</w:t>
            </w:r>
          </w:p>
        </w:tc>
      </w:tr>
      <w:tr w:rsidR="00857E43" w:rsidRPr="001D18F4" w14:paraId="4FD99114"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5FBF7C63"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5013CF22"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Location: Perifissural (benign node)</w:t>
            </w:r>
          </w:p>
        </w:tc>
        <w:tc>
          <w:tcPr>
            <w:tcW w:w="1149" w:type="pct"/>
            <w:vAlign w:val="center"/>
            <w:hideMark/>
          </w:tcPr>
          <w:p w14:paraId="22FE3E25" w14:textId="4A30A05B"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Flatness (3D)(SF_F)</w:t>
            </w:r>
          </w:p>
        </w:tc>
        <w:tc>
          <w:tcPr>
            <w:tcW w:w="830" w:type="pct"/>
            <w:vAlign w:val="center"/>
            <w:hideMark/>
          </w:tcPr>
          <w:p w14:paraId="0EA2CF69"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Inverse ratio small/large axes</w:t>
            </w:r>
          </w:p>
        </w:tc>
        <w:tc>
          <w:tcPr>
            <w:tcW w:w="1623" w:type="pct"/>
            <w:vAlign w:val="center"/>
            <w:hideMark/>
          </w:tcPr>
          <w:p w14:paraId="16FBAAF1"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Compares the smallest to largest principal axes in 3D; high Flatness means the lesion is very thin in one dimension, matching a benign perifissural node.</w:t>
            </w:r>
          </w:p>
        </w:tc>
      </w:tr>
      <w:tr w:rsidR="00857E43" w:rsidRPr="001D18F4" w14:paraId="360F8FEA"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689F8893"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4B476736"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Location: Perifissural (benign node)</w:t>
            </w:r>
          </w:p>
        </w:tc>
        <w:tc>
          <w:tcPr>
            <w:tcW w:w="1149" w:type="pct"/>
            <w:vAlign w:val="center"/>
            <w:hideMark/>
          </w:tcPr>
          <w:p w14:paraId="0D4F6D78" w14:textId="5907855F"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Elongation (2D)(SF_E)</w:t>
            </w:r>
          </w:p>
        </w:tc>
        <w:tc>
          <w:tcPr>
            <w:tcW w:w="830" w:type="pct"/>
            <w:vAlign w:val="center"/>
            <w:hideMark/>
          </w:tcPr>
          <w:p w14:paraId="3B2748D2"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Inverse ratio minor/major 2D axes</w:t>
            </w:r>
          </w:p>
        </w:tc>
        <w:tc>
          <w:tcPr>
            <w:tcW w:w="1623" w:type="pct"/>
            <w:vAlign w:val="center"/>
            <w:hideMark/>
          </w:tcPr>
          <w:p w14:paraId="6D216AEA"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 2D, compares minor to major axis lengths; high Elongation points to a stretched, planar appearance as in a lymph‐node.</w:t>
            </w:r>
          </w:p>
        </w:tc>
      </w:tr>
      <w:tr w:rsidR="00857E43" w:rsidRPr="001D18F4" w14:paraId="3ED784B4"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E10D60F"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36F0ACF4"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Spiculation: Absent / Minimal</w:t>
            </w:r>
          </w:p>
        </w:tc>
        <w:tc>
          <w:tcPr>
            <w:tcW w:w="1149" w:type="pct"/>
            <w:vAlign w:val="center"/>
            <w:hideMark/>
          </w:tcPr>
          <w:p w14:paraId="4A27ECA0"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Inverse Difference Moment(GLCM_IDM)</w:t>
            </w:r>
          </w:p>
        </w:tc>
        <w:tc>
          <w:tcPr>
            <w:tcW w:w="830" w:type="pct"/>
            <w:vAlign w:val="center"/>
            <w:hideMark/>
          </w:tcPr>
          <w:p w14:paraId="78AD83BF"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Local homogeneity</w:t>
            </w:r>
          </w:p>
        </w:tc>
        <w:tc>
          <w:tcPr>
            <w:tcW w:w="1623" w:type="pct"/>
            <w:vAlign w:val="center"/>
            <w:hideMark/>
          </w:tcPr>
          <w:p w14:paraId="33A43D7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IDM along the boundary indicates very uniform intensity—with few or no spicules—consistent with absent or minimal spiculation.</w:t>
            </w:r>
          </w:p>
        </w:tc>
      </w:tr>
      <w:tr w:rsidR="00857E43" w:rsidRPr="001D18F4" w14:paraId="35C47614"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6D0AD23E"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1-2</w:t>
            </w:r>
          </w:p>
        </w:tc>
        <w:tc>
          <w:tcPr>
            <w:tcW w:w="952" w:type="pct"/>
            <w:vAlign w:val="center"/>
            <w:hideMark/>
          </w:tcPr>
          <w:p w14:paraId="53308118"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Spiculation: Absent / Minimal</w:t>
            </w:r>
          </w:p>
        </w:tc>
        <w:tc>
          <w:tcPr>
            <w:tcW w:w="1149" w:type="pct"/>
            <w:vAlign w:val="center"/>
            <w:hideMark/>
          </w:tcPr>
          <w:p w14:paraId="06D55734"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Short-Run Emphasis(GLRLM_SRE)</w:t>
            </w:r>
          </w:p>
        </w:tc>
        <w:tc>
          <w:tcPr>
            <w:tcW w:w="830" w:type="pct"/>
            <w:vAlign w:val="center"/>
            <w:hideMark/>
          </w:tcPr>
          <w:p w14:paraId="417F256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Emphasis on short, uniform runs</w:t>
            </w:r>
          </w:p>
        </w:tc>
        <w:tc>
          <w:tcPr>
            <w:tcW w:w="1623" w:type="pct"/>
            <w:vAlign w:val="center"/>
            <w:hideMark/>
          </w:tcPr>
          <w:p w14:paraId="45CBC80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Quantifies the proportion of short runs of equal intensity; low SRE reflects fewer short spikes, again indicating minimal spiculation.</w:t>
            </w:r>
          </w:p>
        </w:tc>
      </w:tr>
      <w:tr w:rsidR="00857E43" w:rsidRPr="001D18F4" w14:paraId="62814DBB"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4CF29B15"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123448DA"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Shape: Irregular</w:t>
            </w:r>
          </w:p>
        </w:tc>
        <w:tc>
          <w:tcPr>
            <w:tcW w:w="1149" w:type="pct"/>
            <w:vAlign w:val="center"/>
            <w:hideMark/>
          </w:tcPr>
          <w:p w14:paraId="7ADB8CF6" w14:textId="468491F5"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Spherical Disproportion (SF_SpD)</w:t>
            </w:r>
          </w:p>
        </w:tc>
        <w:tc>
          <w:tcPr>
            <w:tcW w:w="830" w:type="pct"/>
            <w:vAlign w:val="center"/>
            <w:hideMark/>
          </w:tcPr>
          <w:p w14:paraId="53BBBB4B"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SpD ↔ more irregular</w:t>
            </w:r>
          </w:p>
        </w:tc>
        <w:tc>
          <w:tcPr>
            <w:tcW w:w="1623" w:type="pct"/>
            <w:vAlign w:val="center"/>
            <w:hideMark/>
          </w:tcPr>
          <w:p w14:paraId="640D04E2"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Measures how much surface area exceeds that of a sphere with the same volume; higher values flag irregular, suspicious shapes.</w:t>
            </w:r>
          </w:p>
        </w:tc>
      </w:tr>
      <w:tr w:rsidR="00857E43" w:rsidRPr="001D18F4" w14:paraId="73E7B6D3"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58FF3E6"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4E8C86C9"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Shape: Irregular</w:t>
            </w:r>
          </w:p>
        </w:tc>
        <w:tc>
          <w:tcPr>
            <w:tcW w:w="1149" w:type="pct"/>
            <w:vAlign w:val="center"/>
            <w:hideMark/>
          </w:tcPr>
          <w:p w14:paraId="001BAAC2" w14:textId="66E0481B"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Flatness (SF_F)</w:t>
            </w:r>
          </w:p>
        </w:tc>
        <w:tc>
          <w:tcPr>
            <w:tcW w:w="830" w:type="pct"/>
            <w:vAlign w:val="center"/>
            <w:hideMark/>
          </w:tcPr>
          <w:p w14:paraId="407290D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Flatness ↔ irregular</w:t>
            </w:r>
          </w:p>
        </w:tc>
        <w:tc>
          <w:tcPr>
            <w:tcW w:w="1623" w:type="pct"/>
            <w:vAlign w:val="center"/>
            <w:hideMark/>
          </w:tcPr>
          <w:p w14:paraId="062C7DE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Compares smallest to largest 3D axes; lower values indicate the shape is far from compact (irregular).</w:t>
            </w:r>
          </w:p>
        </w:tc>
      </w:tr>
      <w:tr w:rsidR="00857E43" w:rsidRPr="001D18F4" w14:paraId="6E88BF9F"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B5DB2AB"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749C00E4"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Shape: Irregular</w:t>
            </w:r>
          </w:p>
        </w:tc>
        <w:tc>
          <w:tcPr>
            <w:tcW w:w="1149" w:type="pct"/>
            <w:vAlign w:val="center"/>
            <w:hideMark/>
          </w:tcPr>
          <w:p w14:paraId="1FDB2291" w14:textId="453B276C"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Elongation (SF_E)</w:t>
            </w:r>
          </w:p>
        </w:tc>
        <w:tc>
          <w:tcPr>
            <w:tcW w:w="830" w:type="pct"/>
            <w:vAlign w:val="center"/>
            <w:hideMark/>
          </w:tcPr>
          <w:p w14:paraId="34C9D258"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Elongation ↔ irregular</w:t>
            </w:r>
          </w:p>
        </w:tc>
        <w:tc>
          <w:tcPr>
            <w:tcW w:w="1623" w:type="pct"/>
            <w:vAlign w:val="center"/>
            <w:hideMark/>
          </w:tcPr>
          <w:p w14:paraId="3D974041"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Ratio of middle to largest principal axis in 3D; low Elongation reveals uneven, non-ellipsoidal shapes.</w:t>
            </w:r>
          </w:p>
        </w:tc>
      </w:tr>
      <w:tr w:rsidR="00857E43" w:rsidRPr="001D18F4" w14:paraId="21BBA175"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F2C37F1"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2E6AD1B9"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Margin: Lobulated</w:t>
            </w:r>
          </w:p>
        </w:tc>
        <w:tc>
          <w:tcPr>
            <w:tcW w:w="1149" w:type="pct"/>
            <w:vAlign w:val="center"/>
            <w:hideMark/>
          </w:tcPr>
          <w:p w14:paraId="52FC7063"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Cluster Tendency (GLCM_CT)</w:t>
            </w:r>
          </w:p>
        </w:tc>
        <w:tc>
          <w:tcPr>
            <w:tcW w:w="830" w:type="pct"/>
            <w:vAlign w:val="center"/>
            <w:hideMark/>
          </w:tcPr>
          <w:p w14:paraId="3970591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CT ↔ lobulated</w:t>
            </w:r>
          </w:p>
        </w:tc>
        <w:tc>
          <w:tcPr>
            <w:tcW w:w="1623" w:type="pct"/>
            <w:vAlign w:val="center"/>
            <w:hideMark/>
          </w:tcPr>
          <w:p w14:paraId="26157F26"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Quantifies how strongly similar gray levels cluster; lower values indicate the uneven lobulated margin pattern.</w:t>
            </w:r>
          </w:p>
        </w:tc>
      </w:tr>
      <w:tr w:rsidR="00857E43" w:rsidRPr="001D18F4" w14:paraId="0E820B2E"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362DD860"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17D2B0A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Margin: Lobulated</w:t>
            </w:r>
          </w:p>
        </w:tc>
        <w:tc>
          <w:tcPr>
            <w:tcW w:w="1149" w:type="pct"/>
            <w:vAlign w:val="center"/>
            <w:hideMark/>
          </w:tcPr>
          <w:p w14:paraId="08D06924"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Contrast (GLCM_Co)</w:t>
            </w:r>
          </w:p>
        </w:tc>
        <w:tc>
          <w:tcPr>
            <w:tcW w:w="830" w:type="pct"/>
            <w:vAlign w:val="center"/>
            <w:hideMark/>
          </w:tcPr>
          <w:p w14:paraId="3E5E357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mid-range ↔ lobulation</w:t>
            </w:r>
          </w:p>
        </w:tc>
        <w:tc>
          <w:tcPr>
            <w:tcW w:w="1623" w:type="pct"/>
            <w:vAlign w:val="center"/>
            <w:hideMark/>
          </w:tcPr>
          <w:p w14:paraId="3F35D03A"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Measures local intensity differences; a mid-level contrast maps well to the scalloped edges of lobulation.</w:t>
            </w:r>
          </w:p>
        </w:tc>
      </w:tr>
      <w:tr w:rsidR="00857E43" w:rsidRPr="001D18F4" w14:paraId="58F92C58"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2DF3897A"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72EDD5C6"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Size: Moderate (6–15 mm)</w:t>
            </w:r>
          </w:p>
        </w:tc>
        <w:tc>
          <w:tcPr>
            <w:tcW w:w="1149" w:type="pct"/>
            <w:vAlign w:val="center"/>
            <w:hideMark/>
          </w:tcPr>
          <w:p w14:paraId="292EFF92"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Max 3D Diameter (SF_Max3DD)</w:t>
            </w:r>
          </w:p>
        </w:tc>
        <w:tc>
          <w:tcPr>
            <w:tcW w:w="830" w:type="pct"/>
            <w:vAlign w:val="center"/>
            <w:hideMark/>
          </w:tcPr>
          <w:p w14:paraId="0B0F5A96"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6–15 mm ↔ moderate</w:t>
            </w:r>
          </w:p>
        </w:tc>
        <w:tc>
          <w:tcPr>
            <w:tcW w:w="1623" w:type="pct"/>
            <w:vAlign w:val="center"/>
            <w:hideMark/>
          </w:tcPr>
          <w:p w14:paraId="6712D819"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The longest cross-sectional span between surface points; moderate spans fall squarely in the 6–15 mm range.</w:t>
            </w:r>
          </w:p>
        </w:tc>
      </w:tr>
      <w:tr w:rsidR="00857E43" w:rsidRPr="001D18F4" w14:paraId="68B8FB9A"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6A271012"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77A0762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Size: Moderate (6–15 mm)</w:t>
            </w:r>
          </w:p>
        </w:tc>
        <w:tc>
          <w:tcPr>
            <w:tcW w:w="1149" w:type="pct"/>
            <w:vAlign w:val="center"/>
            <w:hideMark/>
          </w:tcPr>
          <w:p w14:paraId="61E19A6C" w14:textId="09643E7E"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Mesh Volume (SF_MV)</w:t>
            </w:r>
          </w:p>
        </w:tc>
        <w:tc>
          <w:tcPr>
            <w:tcW w:w="830" w:type="pct"/>
            <w:vAlign w:val="center"/>
            <w:hideMark/>
          </w:tcPr>
          <w:p w14:paraId="26EDFC93"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mid-range volume ↔ moderate</w:t>
            </w:r>
          </w:p>
        </w:tc>
        <w:tc>
          <w:tcPr>
            <w:tcW w:w="1623" w:type="pct"/>
            <w:vAlign w:val="center"/>
            <w:hideMark/>
          </w:tcPr>
          <w:p w14:paraId="12FF56F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Volume from the surface mesh; confirms that the lesion sits in the moderate volume range.</w:t>
            </w:r>
          </w:p>
        </w:tc>
      </w:tr>
      <w:tr w:rsidR="00857E43" w:rsidRPr="001D18F4" w14:paraId="336AA755"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B993F07"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6113C196"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Attenuation: Part-solid</w:t>
            </w:r>
          </w:p>
        </w:tc>
        <w:tc>
          <w:tcPr>
            <w:tcW w:w="1149" w:type="pct"/>
            <w:vAlign w:val="center"/>
            <w:hideMark/>
          </w:tcPr>
          <w:p w14:paraId="4DF693B9"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10th Percentile (FO_10P)</w:t>
            </w:r>
          </w:p>
        </w:tc>
        <w:tc>
          <w:tcPr>
            <w:tcW w:w="830" w:type="pct"/>
            <w:vAlign w:val="center"/>
            <w:hideMark/>
          </w:tcPr>
          <w:p w14:paraId="078E0032"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10P ↔ low-density core</w:t>
            </w:r>
          </w:p>
        </w:tc>
        <w:tc>
          <w:tcPr>
            <w:tcW w:w="1623" w:type="pct"/>
            <w:vAlign w:val="center"/>
            <w:hideMark/>
          </w:tcPr>
          <w:p w14:paraId="6DAA256D"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The intensity value at the 10th percentile highlights the darker, ground-glass component of a part-solid nodule.</w:t>
            </w:r>
          </w:p>
        </w:tc>
      </w:tr>
      <w:tr w:rsidR="00857E43" w:rsidRPr="001D18F4" w14:paraId="5FE96E30"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DA22E8A"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71E0229F"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Attenuation: Part-solid</w:t>
            </w:r>
          </w:p>
        </w:tc>
        <w:tc>
          <w:tcPr>
            <w:tcW w:w="1149" w:type="pct"/>
            <w:vAlign w:val="center"/>
            <w:hideMark/>
          </w:tcPr>
          <w:p w14:paraId="3E9D1A55"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Mean Absolute Deviation (FO_MAD)</w:t>
            </w:r>
          </w:p>
        </w:tc>
        <w:tc>
          <w:tcPr>
            <w:tcW w:w="830" w:type="pct"/>
            <w:vAlign w:val="center"/>
            <w:hideMark/>
          </w:tcPr>
          <w:p w14:paraId="2C08105D"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MAD ↔ mixed intensities</w:t>
            </w:r>
          </w:p>
        </w:tc>
        <w:tc>
          <w:tcPr>
            <w:tcW w:w="1623" w:type="pct"/>
            <w:vAlign w:val="center"/>
            <w:hideMark/>
          </w:tcPr>
          <w:p w14:paraId="4C687F53"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Measures average absolute deviation from the mean—higher MAD indicates a mix of solid and ground-glass regions.</w:t>
            </w:r>
          </w:p>
        </w:tc>
      </w:tr>
      <w:tr w:rsidR="00857E43" w:rsidRPr="001D18F4" w14:paraId="6B6F0F85"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9351BE1"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257B448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Attenuation: Ground-glass</w:t>
            </w:r>
          </w:p>
        </w:tc>
        <w:tc>
          <w:tcPr>
            <w:tcW w:w="1149" w:type="pct"/>
            <w:vAlign w:val="center"/>
            <w:hideMark/>
          </w:tcPr>
          <w:p w14:paraId="0501CFCF"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Gray-Level Variance (GLSZM_GLV)</w:t>
            </w:r>
          </w:p>
        </w:tc>
        <w:tc>
          <w:tcPr>
            <w:tcW w:w="830" w:type="pct"/>
            <w:vAlign w:val="center"/>
            <w:hideMark/>
          </w:tcPr>
          <w:p w14:paraId="318DF1F8"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GLV ↔ heterogeneous GGO</w:t>
            </w:r>
          </w:p>
        </w:tc>
        <w:tc>
          <w:tcPr>
            <w:tcW w:w="1623" w:type="pct"/>
            <w:vAlign w:val="center"/>
            <w:hideMark/>
          </w:tcPr>
          <w:p w14:paraId="2D8892A8"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Captures variance across volumetric zones; higher GLV flags a more heterogeneous ground-glass appearance.</w:t>
            </w:r>
          </w:p>
        </w:tc>
      </w:tr>
      <w:tr w:rsidR="00857E43" w:rsidRPr="001D18F4" w14:paraId="37C65B3F"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EB34F04"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lastRenderedPageBreak/>
              <w:t>Category 3</w:t>
            </w:r>
          </w:p>
        </w:tc>
        <w:tc>
          <w:tcPr>
            <w:tcW w:w="952" w:type="pct"/>
            <w:vAlign w:val="center"/>
            <w:hideMark/>
          </w:tcPr>
          <w:p w14:paraId="5FEAFCE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Attenuation: Ground-glass</w:t>
            </w:r>
          </w:p>
        </w:tc>
        <w:tc>
          <w:tcPr>
            <w:tcW w:w="1149" w:type="pct"/>
            <w:vAlign w:val="center"/>
            <w:hideMark/>
          </w:tcPr>
          <w:p w14:paraId="54F6244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Entropy (FO_En)</w:t>
            </w:r>
          </w:p>
        </w:tc>
        <w:tc>
          <w:tcPr>
            <w:tcW w:w="830" w:type="pct"/>
            <w:vAlign w:val="center"/>
            <w:hideMark/>
          </w:tcPr>
          <w:p w14:paraId="01DBA91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En ↔ randomness</w:t>
            </w:r>
          </w:p>
        </w:tc>
        <w:tc>
          <w:tcPr>
            <w:tcW w:w="1623" w:type="pct"/>
            <w:vAlign w:val="center"/>
            <w:hideMark/>
          </w:tcPr>
          <w:p w14:paraId="62F3A323"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Quantifies randomness in the intensity histogram—higher entropy indicates a mix of gray values, as in ground-glass nodules.</w:t>
            </w:r>
          </w:p>
        </w:tc>
      </w:tr>
      <w:tr w:rsidR="00857E43" w:rsidRPr="001D18F4" w14:paraId="0EE18190"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4FA74F16"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6091D89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Calcification: Eccentric</w:t>
            </w:r>
          </w:p>
        </w:tc>
        <w:tc>
          <w:tcPr>
            <w:tcW w:w="1149" w:type="pct"/>
            <w:vAlign w:val="center"/>
            <w:hideMark/>
          </w:tcPr>
          <w:p w14:paraId="562F957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Inverse Difference (GLCM_ID)</w:t>
            </w:r>
          </w:p>
        </w:tc>
        <w:tc>
          <w:tcPr>
            <w:tcW w:w="830" w:type="pct"/>
            <w:vAlign w:val="center"/>
            <w:hideMark/>
          </w:tcPr>
          <w:p w14:paraId="7A84CF7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ID ↔ eccentric calcification</w:t>
            </w:r>
          </w:p>
        </w:tc>
        <w:tc>
          <w:tcPr>
            <w:tcW w:w="1623" w:type="pct"/>
            <w:vAlign w:val="center"/>
            <w:hideMark/>
          </w:tcPr>
          <w:p w14:paraId="5416EF2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Weights low offset GLCM elements; a low ID indicates abrupt intensity changes typical of off-center calcifications.</w:t>
            </w:r>
          </w:p>
        </w:tc>
      </w:tr>
      <w:tr w:rsidR="00857E43" w:rsidRPr="001D18F4" w14:paraId="61CFB84C"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C343558"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79EF6E78"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Calcification: Eccentric</w:t>
            </w:r>
          </w:p>
        </w:tc>
        <w:tc>
          <w:tcPr>
            <w:tcW w:w="1149" w:type="pct"/>
            <w:vAlign w:val="center"/>
            <w:hideMark/>
          </w:tcPr>
          <w:p w14:paraId="716DFB62"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Long Run Emphasis (GLRLM_LRE)</w:t>
            </w:r>
          </w:p>
        </w:tc>
        <w:tc>
          <w:tcPr>
            <w:tcW w:w="830" w:type="pct"/>
            <w:vAlign w:val="center"/>
            <w:hideMark/>
          </w:tcPr>
          <w:p w14:paraId="2351E04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LRE ↔ long, uneven streaks</w:t>
            </w:r>
          </w:p>
        </w:tc>
        <w:tc>
          <w:tcPr>
            <w:tcW w:w="1623" w:type="pct"/>
            <w:vAlign w:val="center"/>
            <w:hideMark/>
          </w:tcPr>
          <w:p w14:paraId="1716D400"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From run-length matrix, highlights long runs—uneven calcification streaks produce high LRE values.</w:t>
            </w:r>
          </w:p>
        </w:tc>
      </w:tr>
      <w:tr w:rsidR="00857E43" w:rsidRPr="001D18F4" w14:paraId="40BBBEE6"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8DE3391"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7F6D3A75"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Internal: Cavitation (thin-walled)</w:t>
            </w:r>
          </w:p>
        </w:tc>
        <w:tc>
          <w:tcPr>
            <w:tcW w:w="1149" w:type="pct"/>
            <w:vAlign w:val="center"/>
            <w:hideMark/>
          </w:tcPr>
          <w:p w14:paraId="1C68933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Variance (FO_V)</w:t>
            </w:r>
          </w:p>
        </w:tc>
        <w:tc>
          <w:tcPr>
            <w:tcW w:w="830" w:type="pct"/>
            <w:vAlign w:val="center"/>
            <w:hideMark/>
          </w:tcPr>
          <w:p w14:paraId="72E4706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low variance ↔ uniform cavity</w:t>
            </w:r>
          </w:p>
        </w:tc>
        <w:tc>
          <w:tcPr>
            <w:tcW w:w="1623" w:type="pct"/>
            <w:vAlign w:val="center"/>
            <w:hideMark/>
          </w:tcPr>
          <w:p w14:paraId="40BA28C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Low overall intensity variance indicates a uniformly dark, thin-walled cavity typical of benign cysts.</w:t>
            </w:r>
          </w:p>
        </w:tc>
      </w:tr>
      <w:tr w:rsidR="00857E43" w:rsidRPr="001D18F4" w14:paraId="338B2DD3"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D975E82"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3311A314"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Internal: Cavitation (thin-walled)</w:t>
            </w:r>
          </w:p>
        </w:tc>
        <w:tc>
          <w:tcPr>
            <w:tcW w:w="1149" w:type="pct"/>
            <w:vAlign w:val="center"/>
            <w:hideMark/>
          </w:tcPr>
          <w:p w14:paraId="46AA07DD"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Range (FO_R)</w:t>
            </w:r>
          </w:p>
        </w:tc>
        <w:tc>
          <w:tcPr>
            <w:tcW w:w="830" w:type="pct"/>
            <w:vAlign w:val="center"/>
            <w:hideMark/>
          </w:tcPr>
          <w:p w14:paraId="03FC7BB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low range ↔ narrow intensity</w:t>
            </w:r>
          </w:p>
        </w:tc>
        <w:tc>
          <w:tcPr>
            <w:tcW w:w="1623" w:type="pct"/>
            <w:vAlign w:val="center"/>
            <w:hideMark/>
          </w:tcPr>
          <w:p w14:paraId="0822A11B"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A small difference between maximum and minimum intensities confirms a uniform cavity interior.</w:t>
            </w:r>
          </w:p>
        </w:tc>
      </w:tr>
      <w:tr w:rsidR="00857E43" w:rsidRPr="001D18F4" w14:paraId="08AF5D91"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D69C726"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5E09F24A"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Spiculation: Absent/Minimal</w:t>
            </w:r>
          </w:p>
        </w:tc>
        <w:tc>
          <w:tcPr>
            <w:tcW w:w="1149" w:type="pct"/>
            <w:vAlign w:val="center"/>
            <w:hideMark/>
          </w:tcPr>
          <w:p w14:paraId="3EA0F9E4"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Inverse Difference Moment (GLCM_IDM)</w:t>
            </w:r>
          </w:p>
        </w:tc>
        <w:tc>
          <w:tcPr>
            <w:tcW w:w="830" w:type="pct"/>
            <w:vAlign w:val="center"/>
            <w:hideMark/>
          </w:tcPr>
          <w:p w14:paraId="409F8714"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IDM ↔ smooth margin</w:t>
            </w:r>
          </w:p>
        </w:tc>
        <w:tc>
          <w:tcPr>
            <w:tcW w:w="1623" w:type="pct"/>
            <w:vAlign w:val="center"/>
            <w:hideMark/>
          </w:tcPr>
          <w:p w14:paraId="430DEFA5"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IDM reveals uniform neighbor intensities—minimal spiculation.</w:t>
            </w:r>
          </w:p>
        </w:tc>
      </w:tr>
      <w:tr w:rsidR="00857E43" w:rsidRPr="001D18F4" w14:paraId="2B663EC8"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4AA5483C" w14:textId="77777777" w:rsidR="00857E43" w:rsidRPr="001D18F4" w:rsidRDefault="00857E43" w:rsidP="00700DA4">
            <w:pPr>
              <w:jc w:val="center"/>
              <w:rPr>
                <w:rFonts w:asciiTheme="majorBidi" w:hAnsiTheme="majorBidi" w:cstheme="majorBidi"/>
                <w:color w:val="000000"/>
                <w:sz w:val="16"/>
                <w:szCs w:val="16"/>
              </w:rPr>
            </w:pPr>
            <w:r w:rsidRPr="001D18F4">
              <w:rPr>
                <w:rFonts w:asciiTheme="majorBidi" w:hAnsiTheme="majorBidi" w:cstheme="majorBidi"/>
                <w:color w:val="000000"/>
                <w:sz w:val="16"/>
                <w:szCs w:val="16"/>
              </w:rPr>
              <w:t>Category 3</w:t>
            </w:r>
          </w:p>
        </w:tc>
        <w:tc>
          <w:tcPr>
            <w:tcW w:w="952" w:type="pct"/>
            <w:vAlign w:val="center"/>
            <w:hideMark/>
          </w:tcPr>
          <w:p w14:paraId="41D1075B"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Spiculation: Absent/Minimal</w:t>
            </w:r>
          </w:p>
        </w:tc>
        <w:tc>
          <w:tcPr>
            <w:tcW w:w="1149" w:type="pct"/>
            <w:vAlign w:val="center"/>
            <w:hideMark/>
          </w:tcPr>
          <w:p w14:paraId="0B13F492"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Short-Run Emphasis (GLRLM_SRE)</w:t>
            </w:r>
          </w:p>
        </w:tc>
        <w:tc>
          <w:tcPr>
            <w:tcW w:w="830" w:type="pct"/>
            <w:vAlign w:val="center"/>
            <w:hideMark/>
          </w:tcPr>
          <w:p w14:paraId="179A3598"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SRE ↔ few short spikes</w:t>
            </w:r>
          </w:p>
        </w:tc>
        <w:tc>
          <w:tcPr>
            <w:tcW w:w="1623" w:type="pct"/>
            <w:vAlign w:val="center"/>
            <w:hideMark/>
          </w:tcPr>
          <w:p w14:paraId="1206D6A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Low SRE indicates few short runs of intensity, aligning with a lack of spiculation.</w:t>
            </w:r>
          </w:p>
        </w:tc>
      </w:tr>
      <w:tr w:rsidR="00857E43" w:rsidRPr="001D18F4" w14:paraId="5174AD53"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C833E46"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21F8BF13"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Size: Moderate (6–15 mm)</w:t>
            </w:r>
          </w:p>
        </w:tc>
        <w:tc>
          <w:tcPr>
            <w:tcW w:w="1149" w:type="pct"/>
            <w:vAlign w:val="center"/>
            <w:hideMark/>
          </w:tcPr>
          <w:p w14:paraId="5EC705D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Max 3D Diameter (SF_Max3DD)</w:t>
            </w:r>
          </w:p>
        </w:tc>
        <w:tc>
          <w:tcPr>
            <w:tcW w:w="830" w:type="pct"/>
            <w:vAlign w:val="center"/>
            <w:hideMark/>
          </w:tcPr>
          <w:p w14:paraId="1438871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6–15 mm ↔ moderate</w:t>
            </w:r>
          </w:p>
        </w:tc>
        <w:tc>
          <w:tcPr>
            <w:tcW w:w="1623" w:type="pct"/>
            <w:vAlign w:val="center"/>
            <w:hideMark/>
          </w:tcPr>
          <w:p w14:paraId="57A4343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Same diameter measure as Cat 3; moderate range triggers short-interval follow-up.</w:t>
            </w:r>
          </w:p>
        </w:tc>
      </w:tr>
      <w:tr w:rsidR="00857E43" w:rsidRPr="001D18F4" w14:paraId="03E16DAB"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42A2698"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601735B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Size: Moderate (6–15 mm)</w:t>
            </w:r>
          </w:p>
        </w:tc>
        <w:tc>
          <w:tcPr>
            <w:tcW w:w="1149" w:type="pct"/>
            <w:vAlign w:val="center"/>
            <w:hideMark/>
          </w:tcPr>
          <w:p w14:paraId="7575670D" w14:textId="65BE1C99"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Mesh Volume (SF_MV)</w:t>
            </w:r>
          </w:p>
        </w:tc>
        <w:tc>
          <w:tcPr>
            <w:tcW w:w="830" w:type="pct"/>
            <w:vAlign w:val="center"/>
            <w:hideMark/>
          </w:tcPr>
          <w:p w14:paraId="33FF644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mid-range volume ↔ moderate</w:t>
            </w:r>
          </w:p>
        </w:tc>
        <w:tc>
          <w:tcPr>
            <w:tcW w:w="1623" w:type="pct"/>
            <w:vAlign w:val="center"/>
            <w:hideMark/>
          </w:tcPr>
          <w:p w14:paraId="67B773C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Confirms moderate lesion volume for Cat 4A work-up.</w:t>
            </w:r>
          </w:p>
        </w:tc>
      </w:tr>
      <w:tr w:rsidR="00857E43" w:rsidRPr="001D18F4" w14:paraId="7868852E"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A38DA76"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7221DA8C"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Attenuation: Solid / Large core</w:t>
            </w:r>
          </w:p>
        </w:tc>
        <w:tc>
          <w:tcPr>
            <w:tcW w:w="1149" w:type="pct"/>
            <w:vAlign w:val="center"/>
            <w:hideMark/>
          </w:tcPr>
          <w:p w14:paraId="17CA2C7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Mean Intensity (FO_MI)</w:t>
            </w:r>
          </w:p>
        </w:tc>
        <w:tc>
          <w:tcPr>
            <w:tcW w:w="830" w:type="pct"/>
            <w:vAlign w:val="center"/>
            <w:hideMark/>
          </w:tcPr>
          <w:p w14:paraId="42189198"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MI ↔ solid density</w:t>
            </w:r>
          </w:p>
        </w:tc>
        <w:tc>
          <w:tcPr>
            <w:tcW w:w="1623" w:type="pct"/>
            <w:vAlign w:val="center"/>
            <w:hideMark/>
          </w:tcPr>
          <w:p w14:paraId="43964F2F"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Higher average intensity indicates a solid core—suggestive of more suspicious tissue.</w:t>
            </w:r>
          </w:p>
        </w:tc>
      </w:tr>
      <w:tr w:rsidR="00857E43" w:rsidRPr="001D18F4" w14:paraId="1BC6577C"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5CCA1E02"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50EE2CEF"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Attenuation: Solid / Large core</w:t>
            </w:r>
          </w:p>
        </w:tc>
        <w:tc>
          <w:tcPr>
            <w:tcW w:w="1149" w:type="pct"/>
            <w:vAlign w:val="center"/>
            <w:hideMark/>
          </w:tcPr>
          <w:p w14:paraId="5C3EB07A"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90th Percentile (FO_90P)</w:t>
            </w:r>
          </w:p>
        </w:tc>
        <w:tc>
          <w:tcPr>
            <w:tcW w:w="830" w:type="pct"/>
            <w:vAlign w:val="center"/>
            <w:hideMark/>
          </w:tcPr>
          <w:p w14:paraId="6C05287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90P ↔ bright core</w:t>
            </w:r>
          </w:p>
        </w:tc>
        <w:tc>
          <w:tcPr>
            <w:tcW w:w="1623" w:type="pct"/>
            <w:vAlign w:val="center"/>
            <w:hideMark/>
          </w:tcPr>
          <w:p w14:paraId="1CEF1A08"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The upper-end histogram value, capturing the brightest voxels in a solid core.</w:t>
            </w:r>
          </w:p>
        </w:tc>
      </w:tr>
      <w:tr w:rsidR="00857E43" w:rsidRPr="001D18F4" w14:paraId="47F247F6"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2316FAD4"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43A15522"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Attenuation: Part-solid (large core)</w:t>
            </w:r>
          </w:p>
        </w:tc>
        <w:tc>
          <w:tcPr>
            <w:tcW w:w="1149" w:type="pct"/>
            <w:vAlign w:val="center"/>
            <w:hideMark/>
          </w:tcPr>
          <w:p w14:paraId="1F4BC315"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Mean Absolute Deviation (FO_MAD)</w:t>
            </w:r>
          </w:p>
        </w:tc>
        <w:tc>
          <w:tcPr>
            <w:tcW w:w="830" w:type="pct"/>
            <w:vAlign w:val="center"/>
            <w:hideMark/>
          </w:tcPr>
          <w:p w14:paraId="3887CC4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MAD ↔ heterogeneous core</w:t>
            </w:r>
          </w:p>
        </w:tc>
        <w:tc>
          <w:tcPr>
            <w:tcW w:w="1623" w:type="pct"/>
            <w:vAlign w:val="center"/>
            <w:hideMark/>
          </w:tcPr>
          <w:p w14:paraId="4CB49CDA"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As in Cat 3, but here a larger mixed core warrants closer follow-up.</w:t>
            </w:r>
          </w:p>
        </w:tc>
      </w:tr>
      <w:tr w:rsidR="00857E43" w:rsidRPr="001D18F4" w14:paraId="3ECBD164"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34BF905E"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3412447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Attenuation: Part-solid (large core)</w:t>
            </w:r>
          </w:p>
        </w:tc>
        <w:tc>
          <w:tcPr>
            <w:tcW w:w="1149" w:type="pct"/>
            <w:vAlign w:val="center"/>
            <w:hideMark/>
          </w:tcPr>
          <w:p w14:paraId="3BDA16D3"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Uniformity (FO_Un)</w:t>
            </w:r>
          </w:p>
        </w:tc>
        <w:tc>
          <w:tcPr>
            <w:tcW w:w="830" w:type="pct"/>
            <w:vAlign w:val="center"/>
            <w:hideMark/>
          </w:tcPr>
          <w:p w14:paraId="38AA64F5"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Un ↔ heterogeneous core</w:t>
            </w:r>
          </w:p>
        </w:tc>
        <w:tc>
          <w:tcPr>
            <w:tcW w:w="1623" w:type="pct"/>
            <w:vAlign w:val="center"/>
            <w:hideMark/>
          </w:tcPr>
          <w:p w14:paraId="7BEFEFB4"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Lower uniformity confirms a mixed core with both solid and ground-glass components.</w:t>
            </w:r>
          </w:p>
        </w:tc>
      </w:tr>
      <w:tr w:rsidR="00857E43" w:rsidRPr="001D18F4" w14:paraId="5C83CFE1"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2C2CACB1"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48E9C11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Internal: Thick/irregular cavity walls</w:t>
            </w:r>
          </w:p>
        </w:tc>
        <w:tc>
          <w:tcPr>
            <w:tcW w:w="1149" w:type="pct"/>
            <w:vAlign w:val="center"/>
            <w:hideMark/>
          </w:tcPr>
          <w:p w14:paraId="4AA1717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Contrast (GLCM_Co)</w:t>
            </w:r>
          </w:p>
        </w:tc>
        <w:tc>
          <w:tcPr>
            <w:tcW w:w="830" w:type="pct"/>
            <w:vAlign w:val="center"/>
            <w:hideMark/>
          </w:tcPr>
          <w:p w14:paraId="2E89A69D"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Contrast ↔ wall irregularity</w:t>
            </w:r>
          </w:p>
        </w:tc>
        <w:tc>
          <w:tcPr>
            <w:tcW w:w="1623" w:type="pct"/>
            <w:vAlign w:val="center"/>
            <w:hideMark/>
          </w:tcPr>
          <w:p w14:paraId="71C98F1A"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Higher GLCM contrast at cavity walls indicates irregular thickness—more suspicious than simple cysts.</w:t>
            </w:r>
          </w:p>
        </w:tc>
      </w:tr>
      <w:tr w:rsidR="00857E43" w:rsidRPr="001D18F4" w14:paraId="7B48C432"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47CAD942"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4BFD8FB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Internal: Thick/irregular cavity walls</w:t>
            </w:r>
          </w:p>
        </w:tc>
        <w:tc>
          <w:tcPr>
            <w:tcW w:w="1149" w:type="pct"/>
            <w:vAlign w:val="center"/>
            <w:hideMark/>
          </w:tcPr>
          <w:p w14:paraId="598052E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Run Entropy (GLRLM_REn)</w:t>
            </w:r>
          </w:p>
        </w:tc>
        <w:tc>
          <w:tcPr>
            <w:tcW w:w="830" w:type="pct"/>
            <w:vAlign w:val="center"/>
            <w:hideMark/>
          </w:tcPr>
          <w:p w14:paraId="2AF92A75"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REn ↔ random run lengths</w:t>
            </w:r>
          </w:p>
        </w:tc>
        <w:tc>
          <w:tcPr>
            <w:tcW w:w="1623" w:type="pct"/>
            <w:vAlign w:val="center"/>
            <w:hideMark/>
          </w:tcPr>
          <w:p w14:paraId="33DE895F"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Higher run entropy shows variability in cavity wall thickness and texture.</w:t>
            </w:r>
          </w:p>
        </w:tc>
      </w:tr>
      <w:tr w:rsidR="00857E43" w:rsidRPr="001D18F4" w14:paraId="0C807BAE"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319BA554"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3B226866"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Location: Endobronchial/Central</w:t>
            </w:r>
          </w:p>
        </w:tc>
        <w:tc>
          <w:tcPr>
            <w:tcW w:w="1149" w:type="pct"/>
            <w:vAlign w:val="center"/>
            <w:hideMark/>
          </w:tcPr>
          <w:p w14:paraId="320BE593" w14:textId="10946A6D"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Elongation (SF_E)</w:t>
            </w:r>
          </w:p>
        </w:tc>
        <w:tc>
          <w:tcPr>
            <w:tcW w:w="830" w:type="pct"/>
            <w:vAlign w:val="center"/>
            <w:hideMark/>
          </w:tcPr>
          <w:p w14:paraId="0D730E0C"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E ↔ tubular lesion</w:t>
            </w:r>
          </w:p>
        </w:tc>
        <w:tc>
          <w:tcPr>
            <w:tcW w:w="1623" w:type="pct"/>
            <w:vAlign w:val="center"/>
            <w:hideMark/>
          </w:tcPr>
          <w:p w14:paraId="11EEAD71"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An elongated 2D shape corresponds to lesions growing along airways.</w:t>
            </w:r>
          </w:p>
        </w:tc>
      </w:tr>
      <w:tr w:rsidR="00857E43" w:rsidRPr="001D18F4" w14:paraId="000948BE"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38157B75"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2B2E08A7"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Location: Endobronchial/Central</w:t>
            </w:r>
          </w:p>
        </w:tc>
        <w:tc>
          <w:tcPr>
            <w:tcW w:w="1149" w:type="pct"/>
            <w:vAlign w:val="center"/>
            <w:hideMark/>
          </w:tcPr>
          <w:p w14:paraId="200EBDA5" w14:textId="28C39411"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Perimeter (SF_P)</w:t>
            </w:r>
          </w:p>
        </w:tc>
        <w:tc>
          <w:tcPr>
            <w:tcW w:w="830" w:type="pct"/>
            <w:vAlign w:val="center"/>
            <w:hideMark/>
          </w:tcPr>
          <w:p w14:paraId="708E27A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P ↔ branching airway</w:t>
            </w:r>
          </w:p>
        </w:tc>
        <w:tc>
          <w:tcPr>
            <w:tcW w:w="1623" w:type="pct"/>
            <w:vAlign w:val="center"/>
            <w:hideMark/>
          </w:tcPr>
          <w:p w14:paraId="1893FACD"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A longer 2D perimeter indicates branching or airway-centered morphology.</w:t>
            </w:r>
          </w:p>
        </w:tc>
      </w:tr>
      <w:tr w:rsidR="00857E43" w:rsidRPr="001D18F4" w14:paraId="1987F054"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F385253"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2EBB27ED"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Spiculation: Marked</w:t>
            </w:r>
          </w:p>
        </w:tc>
        <w:tc>
          <w:tcPr>
            <w:tcW w:w="1149" w:type="pct"/>
            <w:vAlign w:val="center"/>
            <w:hideMark/>
          </w:tcPr>
          <w:p w14:paraId="5CF77441"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Short-Run Emphasis (GLRLM_SRE)</w:t>
            </w:r>
          </w:p>
        </w:tc>
        <w:tc>
          <w:tcPr>
            <w:tcW w:w="830" w:type="pct"/>
            <w:vAlign w:val="center"/>
            <w:hideMark/>
          </w:tcPr>
          <w:p w14:paraId="1C33D48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SRE ↔ many short spikes</w:t>
            </w:r>
          </w:p>
        </w:tc>
        <w:tc>
          <w:tcPr>
            <w:tcW w:w="1623" w:type="pct"/>
            <w:vAlign w:val="center"/>
            <w:hideMark/>
          </w:tcPr>
          <w:p w14:paraId="0B6E177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SRE highlights abundant short, fine spicules—an ominous sign.</w:t>
            </w:r>
          </w:p>
        </w:tc>
      </w:tr>
      <w:tr w:rsidR="00857E43" w:rsidRPr="001D18F4" w14:paraId="69A23EA6"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F1B78CC"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2BF5D904"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Spiculation: Marked</w:t>
            </w:r>
          </w:p>
        </w:tc>
        <w:tc>
          <w:tcPr>
            <w:tcW w:w="1149" w:type="pct"/>
            <w:vAlign w:val="center"/>
            <w:hideMark/>
          </w:tcPr>
          <w:p w14:paraId="11933D0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Contrast (GLCM_Co)</w:t>
            </w:r>
          </w:p>
        </w:tc>
        <w:tc>
          <w:tcPr>
            <w:tcW w:w="830" w:type="pct"/>
            <w:vAlign w:val="center"/>
            <w:hideMark/>
          </w:tcPr>
          <w:p w14:paraId="589A0A51"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Contrast ↔ sharp spikes</w:t>
            </w:r>
          </w:p>
        </w:tc>
        <w:tc>
          <w:tcPr>
            <w:tcW w:w="1623" w:type="pct"/>
            <w:vAlign w:val="center"/>
            <w:hideMark/>
          </w:tcPr>
          <w:p w14:paraId="288AA32A"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Elevated contrast underscores sharp intensity changes at spicule bases.</w:t>
            </w:r>
          </w:p>
        </w:tc>
      </w:tr>
      <w:tr w:rsidR="00857E43" w:rsidRPr="001D18F4" w14:paraId="39A45A10"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04A4F95"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0DDBC27A"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Associated: Present</w:t>
            </w:r>
          </w:p>
        </w:tc>
        <w:tc>
          <w:tcPr>
            <w:tcW w:w="1149" w:type="pct"/>
            <w:vAlign w:val="center"/>
            <w:hideMark/>
          </w:tcPr>
          <w:p w14:paraId="42C0706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Joint Entropy (GLCM_JEn)</w:t>
            </w:r>
          </w:p>
        </w:tc>
        <w:tc>
          <w:tcPr>
            <w:tcW w:w="830" w:type="pct"/>
            <w:vAlign w:val="center"/>
            <w:hideMark/>
          </w:tcPr>
          <w:p w14:paraId="6BA4EE1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JEn ↔ complex secondary signs</w:t>
            </w:r>
          </w:p>
        </w:tc>
        <w:tc>
          <w:tcPr>
            <w:tcW w:w="1623" w:type="pct"/>
            <w:vAlign w:val="center"/>
            <w:hideMark/>
          </w:tcPr>
          <w:p w14:paraId="314EDDE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joint entropy indicates varied neighboring intensities—often accompanying lymphadenopathy or pleural involvement.</w:t>
            </w:r>
          </w:p>
        </w:tc>
      </w:tr>
      <w:tr w:rsidR="00857E43" w:rsidRPr="001D18F4" w14:paraId="37A2F14E"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11FDB8C"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4A</w:t>
            </w:r>
          </w:p>
        </w:tc>
        <w:tc>
          <w:tcPr>
            <w:tcW w:w="952" w:type="pct"/>
            <w:vAlign w:val="center"/>
            <w:hideMark/>
          </w:tcPr>
          <w:p w14:paraId="6E366B7D"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Associated: Present</w:t>
            </w:r>
          </w:p>
        </w:tc>
        <w:tc>
          <w:tcPr>
            <w:tcW w:w="1149" w:type="pct"/>
            <w:vAlign w:val="center"/>
            <w:hideMark/>
          </w:tcPr>
          <w:p w14:paraId="38C68E53"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Zone Percentage (GLSZM_ZP)</w:t>
            </w:r>
          </w:p>
        </w:tc>
        <w:tc>
          <w:tcPr>
            <w:tcW w:w="830" w:type="pct"/>
            <w:vAlign w:val="center"/>
            <w:hideMark/>
          </w:tcPr>
          <w:p w14:paraId="344EDFF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ZP ↔ fine-texture associations</w:t>
            </w:r>
          </w:p>
        </w:tc>
        <w:tc>
          <w:tcPr>
            <w:tcW w:w="1623" w:type="pct"/>
            <w:vAlign w:val="center"/>
            <w:hideMark/>
          </w:tcPr>
          <w:p w14:paraId="50F3E4F2"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A high proportion of small zones reflects fine textures seen in complex associated findings.</w:t>
            </w:r>
          </w:p>
        </w:tc>
      </w:tr>
      <w:tr w:rsidR="00857E43" w:rsidRPr="001D18F4" w14:paraId="6A0CFC2D"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1100B91" w14:textId="77777777" w:rsidR="00857E43" w:rsidRPr="001D18F4" w:rsidRDefault="00857E43" w:rsidP="00700DA4">
            <w:pPr>
              <w:jc w:val="center"/>
              <w:rPr>
                <w:rFonts w:asciiTheme="majorBidi" w:hAnsiTheme="majorBidi" w:cstheme="majorBidi"/>
                <w:color w:val="9C0006"/>
                <w:sz w:val="16"/>
                <w:szCs w:val="16"/>
              </w:rPr>
            </w:pPr>
            <w:r w:rsidRPr="001D18F4">
              <w:rPr>
                <w:rFonts w:asciiTheme="majorBidi" w:hAnsiTheme="majorBidi" w:cstheme="majorBidi"/>
                <w:color w:val="9C0006"/>
                <w:sz w:val="16"/>
                <w:szCs w:val="16"/>
              </w:rPr>
              <w:t>Category 4B</w:t>
            </w:r>
          </w:p>
        </w:tc>
        <w:tc>
          <w:tcPr>
            <w:tcW w:w="952" w:type="pct"/>
            <w:vAlign w:val="center"/>
            <w:hideMark/>
          </w:tcPr>
          <w:p w14:paraId="5F985F1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Size: Large (&gt;15 mm)</w:t>
            </w:r>
          </w:p>
        </w:tc>
        <w:tc>
          <w:tcPr>
            <w:tcW w:w="1149" w:type="pct"/>
            <w:vAlign w:val="center"/>
            <w:hideMark/>
          </w:tcPr>
          <w:p w14:paraId="7383DB27" w14:textId="495BF598"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Voxel Volume (SF_VV)</w:t>
            </w:r>
          </w:p>
        </w:tc>
        <w:tc>
          <w:tcPr>
            <w:tcW w:w="830" w:type="pct"/>
            <w:vAlign w:val="center"/>
            <w:hideMark/>
          </w:tcPr>
          <w:p w14:paraId="247B5384"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VV ↔ large volume</w:t>
            </w:r>
          </w:p>
        </w:tc>
        <w:tc>
          <w:tcPr>
            <w:tcW w:w="1623" w:type="pct"/>
            <w:vAlign w:val="center"/>
            <w:hideMark/>
          </w:tcPr>
          <w:p w14:paraId="2A3FBB9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Very large volumes automatically trigger immediate diagnostic work-up.</w:t>
            </w:r>
          </w:p>
        </w:tc>
      </w:tr>
      <w:tr w:rsidR="00857E43" w:rsidRPr="001D18F4" w14:paraId="4DDB6897"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F334682" w14:textId="77777777" w:rsidR="00857E43" w:rsidRPr="001D18F4" w:rsidRDefault="00857E43" w:rsidP="00700DA4">
            <w:pPr>
              <w:jc w:val="center"/>
              <w:rPr>
                <w:rFonts w:asciiTheme="majorBidi" w:hAnsiTheme="majorBidi" w:cstheme="majorBidi"/>
                <w:color w:val="9C0006"/>
                <w:sz w:val="16"/>
                <w:szCs w:val="16"/>
              </w:rPr>
            </w:pPr>
            <w:r w:rsidRPr="001D18F4">
              <w:rPr>
                <w:rFonts w:asciiTheme="majorBidi" w:hAnsiTheme="majorBidi" w:cstheme="majorBidi"/>
                <w:color w:val="9C0006"/>
                <w:sz w:val="16"/>
                <w:szCs w:val="16"/>
              </w:rPr>
              <w:t>Category 4B</w:t>
            </w:r>
          </w:p>
        </w:tc>
        <w:tc>
          <w:tcPr>
            <w:tcW w:w="952" w:type="pct"/>
            <w:vAlign w:val="center"/>
            <w:hideMark/>
          </w:tcPr>
          <w:p w14:paraId="3D249BE1"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Size: Large (&gt;15 mm)</w:t>
            </w:r>
          </w:p>
        </w:tc>
        <w:tc>
          <w:tcPr>
            <w:tcW w:w="1149" w:type="pct"/>
            <w:vAlign w:val="center"/>
            <w:hideMark/>
          </w:tcPr>
          <w:p w14:paraId="407CD87C" w14:textId="67E9A42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Mesh Volume (SF_MV)</w:t>
            </w:r>
          </w:p>
        </w:tc>
        <w:tc>
          <w:tcPr>
            <w:tcW w:w="830" w:type="pct"/>
            <w:vAlign w:val="center"/>
            <w:hideMark/>
          </w:tcPr>
          <w:p w14:paraId="1089ED68"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MV ↔ large volume</w:t>
            </w:r>
          </w:p>
        </w:tc>
        <w:tc>
          <w:tcPr>
            <w:tcW w:w="1623" w:type="pct"/>
            <w:vAlign w:val="center"/>
            <w:hideMark/>
          </w:tcPr>
          <w:p w14:paraId="166578E3"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Confirms large size with mesh-based volume.</w:t>
            </w:r>
          </w:p>
        </w:tc>
      </w:tr>
      <w:tr w:rsidR="00857E43" w:rsidRPr="001D18F4" w14:paraId="2DF0A3E5"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754857AC" w14:textId="77777777" w:rsidR="00857E43" w:rsidRPr="001D18F4" w:rsidRDefault="00857E43" w:rsidP="00700DA4">
            <w:pPr>
              <w:jc w:val="center"/>
              <w:rPr>
                <w:rFonts w:asciiTheme="majorBidi" w:hAnsiTheme="majorBidi" w:cstheme="majorBidi"/>
                <w:color w:val="9C0006"/>
                <w:sz w:val="16"/>
                <w:szCs w:val="16"/>
              </w:rPr>
            </w:pPr>
            <w:r w:rsidRPr="001D18F4">
              <w:rPr>
                <w:rFonts w:asciiTheme="majorBidi" w:hAnsiTheme="majorBidi" w:cstheme="majorBidi"/>
                <w:color w:val="9C0006"/>
                <w:sz w:val="16"/>
                <w:szCs w:val="16"/>
              </w:rPr>
              <w:lastRenderedPageBreak/>
              <w:t>Category 4B</w:t>
            </w:r>
          </w:p>
        </w:tc>
        <w:tc>
          <w:tcPr>
            <w:tcW w:w="952" w:type="pct"/>
            <w:vAlign w:val="center"/>
            <w:hideMark/>
          </w:tcPr>
          <w:p w14:paraId="7358541F"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Size: Large (&gt;15 mm)</w:t>
            </w:r>
          </w:p>
        </w:tc>
        <w:tc>
          <w:tcPr>
            <w:tcW w:w="1149" w:type="pct"/>
            <w:vAlign w:val="center"/>
            <w:hideMark/>
          </w:tcPr>
          <w:p w14:paraId="1EA0262B" w14:textId="094B6781"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Surface-Area/Volume (SF_SAVR)</w:t>
            </w:r>
          </w:p>
        </w:tc>
        <w:tc>
          <w:tcPr>
            <w:tcW w:w="830" w:type="pct"/>
            <w:vAlign w:val="center"/>
            <w:hideMark/>
          </w:tcPr>
          <w:p w14:paraId="00E511AC"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SAVR ↔ irregular large shape</w:t>
            </w:r>
          </w:p>
        </w:tc>
        <w:tc>
          <w:tcPr>
            <w:tcW w:w="1623" w:type="pct"/>
            <w:vAlign w:val="center"/>
            <w:hideMark/>
          </w:tcPr>
          <w:p w14:paraId="6EE3A2FD"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SA/V in large nodules reflects irregular, spiculated surfaces.</w:t>
            </w:r>
          </w:p>
        </w:tc>
      </w:tr>
      <w:tr w:rsidR="00857E43" w:rsidRPr="001D18F4" w14:paraId="5FCE7F28"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3CC616F" w14:textId="77777777" w:rsidR="00857E43" w:rsidRPr="001D18F4" w:rsidRDefault="00857E43" w:rsidP="00700DA4">
            <w:pPr>
              <w:jc w:val="center"/>
              <w:rPr>
                <w:rFonts w:asciiTheme="majorBidi" w:hAnsiTheme="majorBidi" w:cstheme="majorBidi"/>
                <w:color w:val="9C0006"/>
                <w:sz w:val="16"/>
                <w:szCs w:val="16"/>
              </w:rPr>
            </w:pPr>
            <w:r w:rsidRPr="001D18F4">
              <w:rPr>
                <w:rFonts w:asciiTheme="majorBidi" w:hAnsiTheme="majorBidi" w:cstheme="majorBidi"/>
                <w:color w:val="9C0006"/>
                <w:sz w:val="16"/>
                <w:szCs w:val="16"/>
              </w:rPr>
              <w:t>Category 4B</w:t>
            </w:r>
          </w:p>
        </w:tc>
        <w:tc>
          <w:tcPr>
            <w:tcW w:w="952" w:type="pct"/>
            <w:vAlign w:val="center"/>
            <w:hideMark/>
          </w:tcPr>
          <w:p w14:paraId="52C29F9D"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Attenuation: Solid / Large core</w:t>
            </w:r>
          </w:p>
        </w:tc>
        <w:tc>
          <w:tcPr>
            <w:tcW w:w="1149" w:type="pct"/>
            <w:vAlign w:val="center"/>
            <w:hideMark/>
          </w:tcPr>
          <w:p w14:paraId="0F721E08"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Standard Deviation (FO_SD)</w:t>
            </w:r>
          </w:p>
        </w:tc>
        <w:tc>
          <w:tcPr>
            <w:tcW w:w="830" w:type="pct"/>
            <w:vAlign w:val="center"/>
            <w:hideMark/>
          </w:tcPr>
          <w:p w14:paraId="27F6E423"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SD ↔ dense solid region</w:t>
            </w:r>
          </w:p>
        </w:tc>
        <w:tc>
          <w:tcPr>
            <w:tcW w:w="1623" w:type="pct"/>
            <w:vAlign w:val="center"/>
            <w:hideMark/>
          </w:tcPr>
          <w:p w14:paraId="459AD447"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Elevated SD within the lesion highlights dense, heterogeneous solid components.</w:t>
            </w:r>
          </w:p>
        </w:tc>
      </w:tr>
      <w:tr w:rsidR="00857E43" w:rsidRPr="001D18F4" w14:paraId="63CE8BF8"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FF119CB" w14:textId="77777777" w:rsidR="00857E43" w:rsidRPr="001D18F4" w:rsidRDefault="00857E43" w:rsidP="00700DA4">
            <w:pPr>
              <w:jc w:val="center"/>
              <w:rPr>
                <w:rFonts w:asciiTheme="majorBidi" w:hAnsiTheme="majorBidi" w:cstheme="majorBidi"/>
                <w:color w:val="9C0006"/>
                <w:sz w:val="16"/>
                <w:szCs w:val="16"/>
              </w:rPr>
            </w:pPr>
            <w:r w:rsidRPr="001D18F4">
              <w:rPr>
                <w:rFonts w:asciiTheme="majorBidi" w:hAnsiTheme="majorBidi" w:cstheme="majorBidi"/>
                <w:color w:val="9C0006"/>
                <w:sz w:val="16"/>
                <w:szCs w:val="16"/>
              </w:rPr>
              <w:t>Category 4B</w:t>
            </w:r>
          </w:p>
        </w:tc>
        <w:tc>
          <w:tcPr>
            <w:tcW w:w="952" w:type="pct"/>
            <w:vAlign w:val="center"/>
            <w:hideMark/>
          </w:tcPr>
          <w:p w14:paraId="2F7748AE"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Margin: Spiculated / Ill-defined</w:t>
            </w:r>
          </w:p>
        </w:tc>
        <w:tc>
          <w:tcPr>
            <w:tcW w:w="1149" w:type="pct"/>
            <w:vAlign w:val="center"/>
            <w:hideMark/>
          </w:tcPr>
          <w:p w14:paraId="0E2BFD14"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Short-Run Emphasis (GLRLM_SRE)</w:t>
            </w:r>
          </w:p>
        </w:tc>
        <w:tc>
          <w:tcPr>
            <w:tcW w:w="830" w:type="pct"/>
            <w:vAlign w:val="center"/>
            <w:hideMark/>
          </w:tcPr>
          <w:p w14:paraId="48988EC7"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SRE ↔ dense spiculation</w:t>
            </w:r>
          </w:p>
        </w:tc>
        <w:tc>
          <w:tcPr>
            <w:tcW w:w="1623" w:type="pct"/>
            <w:vAlign w:val="center"/>
            <w:hideMark/>
          </w:tcPr>
          <w:p w14:paraId="1FAA5012"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SRE reveals the profusion of short, spiky projections typical of high-risk spiculation.</w:t>
            </w:r>
          </w:p>
        </w:tc>
      </w:tr>
      <w:tr w:rsidR="00857E43" w:rsidRPr="001D18F4" w14:paraId="77FA25C8"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05DC833D" w14:textId="77777777" w:rsidR="00857E43" w:rsidRPr="001D18F4" w:rsidRDefault="00857E43" w:rsidP="00700DA4">
            <w:pPr>
              <w:jc w:val="center"/>
              <w:rPr>
                <w:rFonts w:asciiTheme="majorBidi" w:hAnsiTheme="majorBidi" w:cstheme="majorBidi"/>
                <w:color w:val="9C0006"/>
                <w:sz w:val="16"/>
                <w:szCs w:val="16"/>
              </w:rPr>
            </w:pPr>
            <w:r w:rsidRPr="001D18F4">
              <w:rPr>
                <w:rFonts w:asciiTheme="majorBidi" w:hAnsiTheme="majorBidi" w:cstheme="majorBidi"/>
                <w:color w:val="9C0006"/>
                <w:sz w:val="16"/>
                <w:szCs w:val="16"/>
              </w:rPr>
              <w:t>Category 4B</w:t>
            </w:r>
          </w:p>
        </w:tc>
        <w:tc>
          <w:tcPr>
            <w:tcW w:w="952" w:type="pct"/>
            <w:vAlign w:val="center"/>
            <w:hideMark/>
          </w:tcPr>
          <w:p w14:paraId="77A35BFA"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Margin: Spiculated / Ill-defined</w:t>
            </w:r>
          </w:p>
        </w:tc>
        <w:tc>
          <w:tcPr>
            <w:tcW w:w="1149" w:type="pct"/>
            <w:vAlign w:val="center"/>
            <w:hideMark/>
          </w:tcPr>
          <w:p w14:paraId="510C7517"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Contrast (GLCM_Co)</w:t>
            </w:r>
          </w:p>
        </w:tc>
        <w:tc>
          <w:tcPr>
            <w:tcW w:w="830" w:type="pct"/>
            <w:vAlign w:val="center"/>
            <w:hideMark/>
          </w:tcPr>
          <w:p w14:paraId="65F4C327"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Contrast ↔ sharp, spiculated margins</w:t>
            </w:r>
          </w:p>
        </w:tc>
        <w:tc>
          <w:tcPr>
            <w:tcW w:w="1623" w:type="pct"/>
            <w:vAlign w:val="center"/>
            <w:hideMark/>
          </w:tcPr>
          <w:p w14:paraId="79EF9A2A"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Greater off-diagonal GLCM values correspond to sharp margin intensity swings.</w:t>
            </w:r>
          </w:p>
        </w:tc>
      </w:tr>
      <w:tr w:rsidR="00857E43" w:rsidRPr="001D18F4" w14:paraId="0CEAD23D"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5288527B" w14:textId="77777777" w:rsidR="00857E43" w:rsidRPr="001D18F4" w:rsidRDefault="00857E43" w:rsidP="00700DA4">
            <w:pPr>
              <w:jc w:val="center"/>
              <w:rPr>
                <w:rFonts w:asciiTheme="majorBidi" w:hAnsiTheme="majorBidi" w:cstheme="majorBidi"/>
                <w:color w:val="9C0006"/>
                <w:sz w:val="16"/>
                <w:szCs w:val="16"/>
              </w:rPr>
            </w:pPr>
            <w:r w:rsidRPr="001D18F4">
              <w:rPr>
                <w:rFonts w:asciiTheme="majorBidi" w:hAnsiTheme="majorBidi" w:cstheme="majorBidi"/>
                <w:color w:val="9C0006"/>
                <w:sz w:val="16"/>
                <w:szCs w:val="16"/>
              </w:rPr>
              <w:t>Category 4B</w:t>
            </w:r>
          </w:p>
        </w:tc>
        <w:tc>
          <w:tcPr>
            <w:tcW w:w="952" w:type="pct"/>
            <w:vAlign w:val="center"/>
            <w:hideMark/>
          </w:tcPr>
          <w:p w14:paraId="52D11704"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Margin: Spiculated / Ill-defined</w:t>
            </w:r>
          </w:p>
        </w:tc>
        <w:tc>
          <w:tcPr>
            <w:tcW w:w="1149" w:type="pct"/>
            <w:vAlign w:val="center"/>
            <w:hideMark/>
          </w:tcPr>
          <w:p w14:paraId="3A6CE898"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Gray-Level Zone Emphasis (GLSZM_HGLZE)</w:t>
            </w:r>
          </w:p>
        </w:tc>
        <w:tc>
          <w:tcPr>
            <w:tcW w:w="830" w:type="pct"/>
            <w:vAlign w:val="center"/>
            <w:hideMark/>
          </w:tcPr>
          <w:p w14:paraId="7F23D785"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HGLZE ↔ bright spike zones</w:t>
            </w:r>
          </w:p>
        </w:tc>
        <w:tc>
          <w:tcPr>
            <w:tcW w:w="1623" w:type="pct"/>
            <w:vAlign w:val="center"/>
            <w:hideMark/>
          </w:tcPr>
          <w:p w14:paraId="1D101463"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Emphasizes clusters of high-intensity voxels at the margin—another sign of aggressive spiculation.</w:t>
            </w:r>
          </w:p>
        </w:tc>
      </w:tr>
      <w:tr w:rsidR="00857E43" w:rsidRPr="001D18F4" w14:paraId="4294D209"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27903173"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4X</w:t>
            </w:r>
          </w:p>
        </w:tc>
        <w:tc>
          <w:tcPr>
            <w:tcW w:w="952" w:type="pct"/>
            <w:vAlign w:val="center"/>
            <w:hideMark/>
          </w:tcPr>
          <w:p w14:paraId="61C5C099"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Growth: Rapidly growing</w:t>
            </w:r>
          </w:p>
        </w:tc>
        <w:tc>
          <w:tcPr>
            <w:tcW w:w="1149" w:type="pct"/>
            <w:vAlign w:val="center"/>
            <w:hideMark/>
          </w:tcPr>
          <w:p w14:paraId="7A7A93C8"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Percent Δ Volume</w:t>
            </w:r>
          </w:p>
        </w:tc>
        <w:tc>
          <w:tcPr>
            <w:tcW w:w="830" w:type="pct"/>
            <w:vAlign w:val="center"/>
            <w:hideMark/>
          </w:tcPr>
          <w:p w14:paraId="4B845691"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large % Δ ↔ aggressive growth</w:t>
            </w:r>
          </w:p>
        </w:tc>
        <w:tc>
          <w:tcPr>
            <w:tcW w:w="1623" w:type="pct"/>
            <w:vAlign w:val="center"/>
            <w:hideMark/>
          </w:tcPr>
          <w:p w14:paraId="2EF9DCB5"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Quantifies percent change in volume over time; large increases call for urgent evaluation.</w:t>
            </w:r>
          </w:p>
        </w:tc>
      </w:tr>
      <w:tr w:rsidR="00857E43" w:rsidRPr="001D18F4" w14:paraId="12BECB85"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624A8BA5"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4X</w:t>
            </w:r>
          </w:p>
        </w:tc>
        <w:tc>
          <w:tcPr>
            <w:tcW w:w="952" w:type="pct"/>
            <w:vAlign w:val="center"/>
            <w:hideMark/>
          </w:tcPr>
          <w:p w14:paraId="60DC13C1"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Growth: Rapidly growing</w:t>
            </w:r>
          </w:p>
        </w:tc>
        <w:tc>
          <w:tcPr>
            <w:tcW w:w="1149" w:type="pct"/>
            <w:vAlign w:val="center"/>
            <w:hideMark/>
          </w:tcPr>
          <w:p w14:paraId="75EEB2A5" w14:textId="72141A0D"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Area Δ (2D)</w:t>
            </w:r>
            <w:r w:rsidRPr="001D18F4">
              <w:rPr>
                <w:rFonts w:asciiTheme="majorBidi" w:hAnsiTheme="majorBidi" w:cstheme="majorBidi"/>
                <w:color w:val="000000"/>
                <w:sz w:val="16"/>
                <w:szCs w:val="16"/>
              </w:rPr>
              <w:t>(Δ SF_MS)</w:t>
            </w:r>
          </w:p>
        </w:tc>
        <w:tc>
          <w:tcPr>
            <w:tcW w:w="830" w:type="pct"/>
            <w:vAlign w:val="center"/>
            <w:hideMark/>
          </w:tcPr>
          <w:p w14:paraId="6148547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ΔArea ↔ rapid expansion</w:t>
            </w:r>
          </w:p>
        </w:tc>
        <w:tc>
          <w:tcPr>
            <w:tcW w:w="1623" w:type="pct"/>
            <w:vAlign w:val="center"/>
            <w:hideMark/>
          </w:tcPr>
          <w:p w14:paraId="2EDDEC4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Measures change in cross-sectional mesh area; rapid increases align with aggressive behavior.</w:t>
            </w:r>
          </w:p>
        </w:tc>
      </w:tr>
      <w:tr w:rsidR="00857E43" w:rsidRPr="001D18F4" w14:paraId="2F3B7589"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3C9271BA"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4X</w:t>
            </w:r>
          </w:p>
        </w:tc>
        <w:tc>
          <w:tcPr>
            <w:tcW w:w="952" w:type="pct"/>
            <w:vAlign w:val="center"/>
            <w:hideMark/>
          </w:tcPr>
          <w:p w14:paraId="5921C030"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Spiculation: Marked</w:t>
            </w:r>
          </w:p>
        </w:tc>
        <w:tc>
          <w:tcPr>
            <w:tcW w:w="1149" w:type="pct"/>
            <w:vAlign w:val="center"/>
            <w:hideMark/>
          </w:tcPr>
          <w:p w14:paraId="7ED6E68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Short-Run Low Gray-Level Emphasis (GLRLM_SRLGLE)</w:t>
            </w:r>
          </w:p>
        </w:tc>
        <w:tc>
          <w:tcPr>
            <w:tcW w:w="830" w:type="pct"/>
            <w:vAlign w:val="center"/>
            <w:hideMark/>
          </w:tcPr>
          <w:p w14:paraId="15578565"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SRLGLE ↔ dense, low-intensity spikes</w:t>
            </w:r>
          </w:p>
        </w:tc>
        <w:tc>
          <w:tcPr>
            <w:tcW w:w="1623" w:type="pct"/>
            <w:vAlign w:val="center"/>
            <w:hideMark/>
          </w:tcPr>
          <w:p w14:paraId="59A522F8"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Captures short runs of low-intensity (dark) spicules, marking highly irregular, invasive projections.</w:t>
            </w:r>
          </w:p>
        </w:tc>
      </w:tr>
      <w:tr w:rsidR="00857E43" w:rsidRPr="001D18F4" w14:paraId="38A4D53D"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718E2C3"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4X</w:t>
            </w:r>
          </w:p>
        </w:tc>
        <w:tc>
          <w:tcPr>
            <w:tcW w:w="952" w:type="pct"/>
            <w:vAlign w:val="center"/>
            <w:hideMark/>
          </w:tcPr>
          <w:p w14:paraId="30C00C16"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Spiculation: Marked</w:t>
            </w:r>
          </w:p>
        </w:tc>
        <w:tc>
          <w:tcPr>
            <w:tcW w:w="1149" w:type="pct"/>
            <w:vAlign w:val="center"/>
            <w:hideMark/>
          </w:tcPr>
          <w:p w14:paraId="529C7924"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Zone Variance (GLSZM_ZV)</w:t>
            </w:r>
          </w:p>
        </w:tc>
        <w:tc>
          <w:tcPr>
            <w:tcW w:w="830" w:type="pct"/>
            <w:vAlign w:val="center"/>
            <w:hideMark/>
          </w:tcPr>
          <w:p w14:paraId="57E0290D"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ZV ↔ highly variable zone sizes</w:t>
            </w:r>
          </w:p>
        </w:tc>
        <w:tc>
          <w:tcPr>
            <w:tcW w:w="1623" w:type="pct"/>
            <w:vAlign w:val="center"/>
            <w:hideMark/>
          </w:tcPr>
          <w:p w14:paraId="4D93C2C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variance in zone sizes indicates severe heterogeneity at the lesion margins.</w:t>
            </w:r>
          </w:p>
        </w:tc>
      </w:tr>
      <w:tr w:rsidR="00857E43" w:rsidRPr="001D18F4" w14:paraId="12EE8A9C"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269569CA"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4X</w:t>
            </w:r>
          </w:p>
        </w:tc>
        <w:tc>
          <w:tcPr>
            <w:tcW w:w="952" w:type="pct"/>
            <w:vAlign w:val="center"/>
            <w:hideMark/>
          </w:tcPr>
          <w:p w14:paraId="4D08420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Associated Findings: Present</w:t>
            </w:r>
          </w:p>
        </w:tc>
        <w:tc>
          <w:tcPr>
            <w:tcW w:w="1149" w:type="pct"/>
            <w:vAlign w:val="center"/>
            <w:hideMark/>
          </w:tcPr>
          <w:p w14:paraId="50DAB421"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Informational Measure of Correlation 1 (GLCM_IMC1)</w:t>
            </w:r>
          </w:p>
        </w:tc>
        <w:tc>
          <w:tcPr>
            <w:tcW w:w="830" w:type="pct"/>
            <w:vAlign w:val="center"/>
            <w:hideMark/>
          </w:tcPr>
          <w:p w14:paraId="713D33CC"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IMC1 ↔ complex invasive relationships</w:t>
            </w:r>
          </w:p>
        </w:tc>
        <w:tc>
          <w:tcPr>
            <w:tcW w:w="1623" w:type="pct"/>
            <w:vAlign w:val="center"/>
            <w:hideMark/>
          </w:tcPr>
          <w:p w14:paraId="53F902D5"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Low IMC1 reflects low mutual information between gray-level distributions—a hallmark of invasive, disorganized tissue.</w:t>
            </w:r>
          </w:p>
        </w:tc>
      </w:tr>
      <w:tr w:rsidR="00857E43" w:rsidRPr="001D18F4" w14:paraId="18E7EC11"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6448455B"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4X</w:t>
            </w:r>
          </w:p>
        </w:tc>
        <w:tc>
          <w:tcPr>
            <w:tcW w:w="952" w:type="pct"/>
            <w:vAlign w:val="center"/>
            <w:hideMark/>
          </w:tcPr>
          <w:p w14:paraId="4399A739"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Associated Findings: Present</w:t>
            </w:r>
          </w:p>
        </w:tc>
        <w:tc>
          <w:tcPr>
            <w:tcW w:w="1149" w:type="pct"/>
            <w:vAlign w:val="center"/>
            <w:hideMark/>
          </w:tcPr>
          <w:p w14:paraId="78B11683"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Dependence Non-Uniformity Normalized (GLDM_DNN)</w:t>
            </w:r>
          </w:p>
        </w:tc>
        <w:tc>
          <w:tcPr>
            <w:tcW w:w="830" w:type="pct"/>
            <w:vAlign w:val="center"/>
            <w:hideMark/>
          </w:tcPr>
          <w:p w14:paraId="3CB99381"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DNN ↔ non-uniform dependencies</w:t>
            </w:r>
          </w:p>
        </w:tc>
        <w:tc>
          <w:tcPr>
            <w:tcW w:w="1623" w:type="pct"/>
            <w:vAlign w:val="center"/>
            <w:hideMark/>
          </w:tcPr>
          <w:p w14:paraId="365C95B4"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High DNN shows non-uniform dependence patterns, indicating complex secondary findings like lymphadenopathy and pleural thickening.</w:t>
            </w:r>
          </w:p>
        </w:tc>
      </w:tr>
      <w:tr w:rsidR="00857E43" w:rsidRPr="001D18F4" w14:paraId="0FBB012D" w14:textId="77777777" w:rsidTr="005343B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457FB34"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4X</w:t>
            </w:r>
          </w:p>
        </w:tc>
        <w:tc>
          <w:tcPr>
            <w:tcW w:w="952" w:type="pct"/>
            <w:vAlign w:val="center"/>
            <w:hideMark/>
          </w:tcPr>
          <w:p w14:paraId="0E4CC81E"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Margin: Ill-defined</w:t>
            </w:r>
          </w:p>
        </w:tc>
        <w:tc>
          <w:tcPr>
            <w:tcW w:w="1149" w:type="pct"/>
            <w:vAlign w:val="center"/>
            <w:hideMark/>
          </w:tcPr>
          <w:p w14:paraId="32A5F2A7"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Inverse Difference Normalized (GLCM_IDN)</w:t>
            </w:r>
          </w:p>
        </w:tc>
        <w:tc>
          <w:tcPr>
            <w:tcW w:w="830" w:type="pct"/>
            <w:vAlign w:val="center"/>
            <w:hideMark/>
          </w:tcPr>
          <w:p w14:paraId="235ABCA6"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IDN ↔ ill-defined margin</w:t>
            </w:r>
          </w:p>
        </w:tc>
        <w:tc>
          <w:tcPr>
            <w:tcW w:w="1623" w:type="pct"/>
            <w:vAlign w:val="center"/>
            <w:hideMark/>
          </w:tcPr>
          <w:p w14:paraId="6B03E6D2" w14:textId="77777777" w:rsidR="00857E43" w:rsidRPr="001D18F4" w:rsidRDefault="00857E43" w:rsidP="00700DA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Lower normalized homogeneity indicates a very fuzzy, ill-defined boundary requiring urgent work-up.</w:t>
            </w:r>
          </w:p>
        </w:tc>
      </w:tr>
      <w:tr w:rsidR="00857E43" w:rsidRPr="001D18F4" w14:paraId="3D58297A" w14:textId="77777777" w:rsidTr="005343B9">
        <w:trPr>
          <w:trHeight w:val="600"/>
        </w:trPr>
        <w:tc>
          <w:tcPr>
            <w:cnfStyle w:val="001000000000" w:firstRow="0" w:lastRow="0" w:firstColumn="1" w:lastColumn="0" w:oddVBand="0" w:evenVBand="0" w:oddHBand="0" w:evenHBand="0" w:firstRowFirstColumn="0" w:firstRowLastColumn="0" w:lastRowFirstColumn="0" w:lastRowLastColumn="0"/>
            <w:tcW w:w="446" w:type="pct"/>
            <w:vAlign w:val="center"/>
            <w:hideMark/>
          </w:tcPr>
          <w:p w14:paraId="1428CAA1" w14:textId="77777777" w:rsidR="00857E43" w:rsidRPr="001D18F4" w:rsidRDefault="00857E43" w:rsidP="00700DA4">
            <w:pPr>
              <w:jc w:val="center"/>
              <w:rPr>
                <w:rFonts w:asciiTheme="majorBidi" w:hAnsiTheme="majorBidi" w:cstheme="majorBidi"/>
                <w:color w:val="FFFFFF"/>
                <w:sz w:val="16"/>
                <w:szCs w:val="16"/>
              </w:rPr>
            </w:pPr>
            <w:r w:rsidRPr="001D18F4">
              <w:rPr>
                <w:rFonts w:asciiTheme="majorBidi" w:hAnsiTheme="majorBidi" w:cstheme="majorBidi"/>
                <w:color w:val="FFFFFF"/>
                <w:sz w:val="16"/>
                <w:szCs w:val="16"/>
              </w:rPr>
              <w:t>Category 4X</w:t>
            </w:r>
          </w:p>
        </w:tc>
        <w:tc>
          <w:tcPr>
            <w:tcW w:w="952" w:type="pct"/>
            <w:vAlign w:val="center"/>
            <w:hideMark/>
          </w:tcPr>
          <w:p w14:paraId="7BF24D90"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Margin: Ill-defined</w:t>
            </w:r>
          </w:p>
        </w:tc>
        <w:tc>
          <w:tcPr>
            <w:tcW w:w="1149" w:type="pct"/>
            <w:vAlign w:val="center"/>
            <w:hideMark/>
          </w:tcPr>
          <w:p w14:paraId="19968DA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6"/>
                <w:szCs w:val="16"/>
              </w:rPr>
            </w:pPr>
            <w:r w:rsidRPr="001D18F4">
              <w:rPr>
                <w:rFonts w:asciiTheme="majorBidi" w:hAnsiTheme="majorBidi" w:cstheme="majorBidi"/>
                <w:b/>
                <w:bCs/>
                <w:color w:val="000000"/>
                <w:sz w:val="16"/>
                <w:szCs w:val="16"/>
              </w:rPr>
              <w:t>NGTDM Contrast (NGTDM_Con)</w:t>
            </w:r>
          </w:p>
        </w:tc>
        <w:tc>
          <w:tcPr>
            <w:tcW w:w="830" w:type="pct"/>
            <w:vAlign w:val="center"/>
            <w:hideMark/>
          </w:tcPr>
          <w:p w14:paraId="3FC59271"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 Con ↔ high spatial change</w:t>
            </w:r>
          </w:p>
        </w:tc>
        <w:tc>
          <w:tcPr>
            <w:tcW w:w="1623" w:type="pct"/>
            <w:vAlign w:val="center"/>
            <w:hideMark/>
          </w:tcPr>
          <w:p w14:paraId="198FD12B" w14:textId="77777777" w:rsidR="00857E43" w:rsidRPr="001D18F4" w:rsidRDefault="00857E43" w:rsidP="00700DA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rPr>
            </w:pPr>
            <w:r w:rsidRPr="001D18F4">
              <w:rPr>
                <w:rFonts w:asciiTheme="majorBidi" w:hAnsiTheme="majorBidi" w:cstheme="majorBidi"/>
                <w:color w:val="000000"/>
                <w:sz w:val="16"/>
                <w:szCs w:val="16"/>
              </w:rPr>
              <w:t>A high NGTDM contrast captures dramatic intensity shifts between a voxel and its neighborhood—corresponding to highly irregular, ambiguous margins.</w:t>
            </w:r>
          </w:p>
        </w:tc>
      </w:tr>
    </w:tbl>
    <w:p w14:paraId="6201DFB3" w14:textId="77777777" w:rsidR="007511F3" w:rsidRPr="001D18F4" w:rsidRDefault="007511F3" w:rsidP="00992555">
      <w:pPr>
        <w:rPr>
          <w:rFonts w:asciiTheme="majorBidi" w:hAnsiTheme="majorBidi" w:cstheme="majorBidi"/>
          <w:b/>
          <w:bCs/>
          <w:color w:val="000000"/>
          <w:sz w:val="20"/>
          <w:szCs w:val="20"/>
          <w:shd w:val="clear" w:color="auto" w:fill="FFFFFF"/>
        </w:rPr>
      </w:pPr>
    </w:p>
    <w:p w14:paraId="5C01F64C" w14:textId="31AFE13B" w:rsidR="007511F3" w:rsidRPr="00865C7E" w:rsidRDefault="007511F3" w:rsidP="00865C7E">
      <w:pPr>
        <w:rPr>
          <w:rFonts w:asciiTheme="majorBidi" w:hAnsiTheme="majorBidi" w:cstheme="majorBidi"/>
          <w:i/>
          <w:iCs/>
        </w:rPr>
      </w:pPr>
    </w:p>
    <w:sectPr w:rsidR="007511F3" w:rsidRPr="00865C7E" w:rsidSect="005343B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FAAD9" w14:textId="77777777" w:rsidR="00E03320" w:rsidRDefault="00E03320" w:rsidP="002C2AE5">
      <w:r>
        <w:separator/>
      </w:r>
    </w:p>
  </w:endnote>
  <w:endnote w:type="continuationSeparator" w:id="0">
    <w:p w14:paraId="193E742B" w14:textId="77777777" w:rsidR="00E03320" w:rsidRDefault="00E03320" w:rsidP="002C2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95A88" w14:textId="77777777" w:rsidR="00E03320" w:rsidRDefault="00E03320" w:rsidP="002C2AE5">
      <w:r>
        <w:separator/>
      </w:r>
    </w:p>
  </w:footnote>
  <w:footnote w:type="continuationSeparator" w:id="0">
    <w:p w14:paraId="17C2F6FA" w14:textId="77777777" w:rsidR="00E03320" w:rsidRDefault="00E03320" w:rsidP="002C2A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52"/>
    <w:rsid w:val="00003235"/>
    <w:rsid w:val="0002085F"/>
    <w:rsid w:val="0003333D"/>
    <w:rsid w:val="000371A4"/>
    <w:rsid w:val="0007013B"/>
    <w:rsid w:val="00095411"/>
    <w:rsid w:val="000A0F56"/>
    <w:rsid w:val="000A49D4"/>
    <w:rsid w:val="000B12B7"/>
    <w:rsid w:val="000B49BC"/>
    <w:rsid w:val="000D2C4F"/>
    <w:rsid w:val="000D6C23"/>
    <w:rsid w:val="000F691A"/>
    <w:rsid w:val="00110FE1"/>
    <w:rsid w:val="0012288A"/>
    <w:rsid w:val="001A2334"/>
    <w:rsid w:val="001D18F4"/>
    <w:rsid w:val="001D2902"/>
    <w:rsid w:val="001E08D1"/>
    <w:rsid w:val="001E64E4"/>
    <w:rsid w:val="001F54BA"/>
    <w:rsid w:val="00241754"/>
    <w:rsid w:val="00241F54"/>
    <w:rsid w:val="00250F89"/>
    <w:rsid w:val="00253626"/>
    <w:rsid w:val="0025530B"/>
    <w:rsid w:val="00274C20"/>
    <w:rsid w:val="002C2AE5"/>
    <w:rsid w:val="002D02EB"/>
    <w:rsid w:val="00345032"/>
    <w:rsid w:val="00354E63"/>
    <w:rsid w:val="00356222"/>
    <w:rsid w:val="00356859"/>
    <w:rsid w:val="003C1FD8"/>
    <w:rsid w:val="003D09E1"/>
    <w:rsid w:val="003E1116"/>
    <w:rsid w:val="004024FF"/>
    <w:rsid w:val="0042151B"/>
    <w:rsid w:val="00423D47"/>
    <w:rsid w:val="00446F43"/>
    <w:rsid w:val="0046251A"/>
    <w:rsid w:val="004903AF"/>
    <w:rsid w:val="004912FA"/>
    <w:rsid w:val="004B238C"/>
    <w:rsid w:val="004B2C16"/>
    <w:rsid w:val="004B37BA"/>
    <w:rsid w:val="004D3A57"/>
    <w:rsid w:val="004E4918"/>
    <w:rsid w:val="004F6C6D"/>
    <w:rsid w:val="00504969"/>
    <w:rsid w:val="00517130"/>
    <w:rsid w:val="00521C6A"/>
    <w:rsid w:val="005343B9"/>
    <w:rsid w:val="00583D2F"/>
    <w:rsid w:val="00593F4A"/>
    <w:rsid w:val="005A12DB"/>
    <w:rsid w:val="005A2BA7"/>
    <w:rsid w:val="005B2BB3"/>
    <w:rsid w:val="005C36D9"/>
    <w:rsid w:val="005F1B20"/>
    <w:rsid w:val="005F3BEF"/>
    <w:rsid w:val="0060090D"/>
    <w:rsid w:val="006022E4"/>
    <w:rsid w:val="0060506A"/>
    <w:rsid w:val="006135EE"/>
    <w:rsid w:val="00662543"/>
    <w:rsid w:val="00671C4E"/>
    <w:rsid w:val="006836A9"/>
    <w:rsid w:val="00691647"/>
    <w:rsid w:val="006B082A"/>
    <w:rsid w:val="006F6934"/>
    <w:rsid w:val="006F7801"/>
    <w:rsid w:val="00700DA4"/>
    <w:rsid w:val="0072232B"/>
    <w:rsid w:val="007511F3"/>
    <w:rsid w:val="00772FC9"/>
    <w:rsid w:val="00773273"/>
    <w:rsid w:val="00777773"/>
    <w:rsid w:val="007A7371"/>
    <w:rsid w:val="008041E0"/>
    <w:rsid w:val="008578D3"/>
    <w:rsid w:val="00857E43"/>
    <w:rsid w:val="00865A0F"/>
    <w:rsid w:val="00865C7E"/>
    <w:rsid w:val="00880A9F"/>
    <w:rsid w:val="00895848"/>
    <w:rsid w:val="008964EB"/>
    <w:rsid w:val="008B18FC"/>
    <w:rsid w:val="008B2923"/>
    <w:rsid w:val="008B520D"/>
    <w:rsid w:val="008C2279"/>
    <w:rsid w:val="008E3C90"/>
    <w:rsid w:val="00915252"/>
    <w:rsid w:val="00924E14"/>
    <w:rsid w:val="009361B3"/>
    <w:rsid w:val="00944403"/>
    <w:rsid w:val="0096200A"/>
    <w:rsid w:val="00992555"/>
    <w:rsid w:val="00995B47"/>
    <w:rsid w:val="009B1889"/>
    <w:rsid w:val="009B20B3"/>
    <w:rsid w:val="009B6451"/>
    <w:rsid w:val="00A03EFA"/>
    <w:rsid w:val="00A05DF6"/>
    <w:rsid w:val="00A13E73"/>
    <w:rsid w:val="00A60E2F"/>
    <w:rsid w:val="00A65A53"/>
    <w:rsid w:val="00AC5AD0"/>
    <w:rsid w:val="00AE52FE"/>
    <w:rsid w:val="00B053C6"/>
    <w:rsid w:val="00B15ED5"/>
    <w:rsid w:val="00B37699"/>
    <w:rsid w:val="00B40A96"/>
    <w:rsid w:val="00B45B2C"/>
    <w:rsid w:val="00B538E4"/>
    <w:rsid w:val="00B611C7"/>
    <w:rsid w:val="00BA6C79"/>
    <w:rsid w:val="00BB3DAF"/>
    <w:rsid w:val="00BB4FD1"/>
    <w:rsid w:val="00BB70DF"/>
    <w:rsid w:val="00BC28F2"/>
    <w:rsid w:val="00BF38F8"/>
    <w:rsid w:val="00BF3D7F"/>
    <w:rsid w:val="00BF40B6"/>
    <w:rsid w:val="00C80AD6"/>
    <w:rsid w:val="00C92BC6"/>
    <w:rsid w:val="00CB2C7E"/>
    <w:rsid w:val="00CB5456"/>
    <w:rsid w:val="00D4771C"/>
    <w:rsid w:val="00D52520"/>
    <w:rsid w:val="00D80681"/>
    <w:rsid w:val="00DB32DE"/>
    <w:rsid w:val="00DB5194"/>
    <w:rsid w:val="00DB5DEC"/>
    <w:rsid w:val="00DD7A01"/>
    <w:rsid w:val="00DE56C3"/>
    <w:rsid w:val="00DF3B2B"/>
    <w:rsid w:val="00E03320"/>
    <w:rsid w:val="00E07777"/>
    <w:rsid w:val="00E30118"/>
    <w:rsid w:val="00E603EC"/>
    <w:rsid w:val="00E707F4"/>
    <w:rsid w:val="00E70A71"/>
    <w:rsid w:val="00E73140"/>
    <w:rsid w:val="00E91EDD"/>
    <w:rsid w:val="00EB14F7"/>
    <w:rsid w:val="00EC1877"/>
    <w:rsid w:val="00EC4B76"/>
    <w:rsid w:val="00ED72CC"/>
    <w:rsid w:val="00EF24ED"/>
    <w:rsid w:val="00EF2B67"/>
    <w:rsid w:val="00F30BAD"/>
    <w:rsid w:val="00F31192"/>
    <w:rsid w:val="00F34521"/>
    <w:rsid w:val="00F9419D"/>
    <w:rsid w:val="00FA4771"/>
    <w:rsid w:val="00FB34B4"/>
    <w:rsid w:val="00FE3B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7A046"/>
  <w15:chartTrackingRefBased/>
  <w15:docId w15:val="{74F33C63-F752-3A47-92EB-72DE4F7C6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55"/>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52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2AE5"/>
    <w:pPr>
      <w:tabs>
        <w:tab w:val="center" w:pos="4680"/>
        <w:tab w:val="right" w:pos="9360"/>
      </w:tabs>
    </w:pPr>
  </w:style>
  <w:style w:type="character" w:customStyle="1" w:styleId="HeaderChar">
    <w:name w:val="Header Char"/>
    <w:basedOn w:val="DefaultParagraphFont"/>
    <w:link w:val="Header"/>
    <w:uiPriority w:val="99"/>
    <w:rsid w:val="002C2AE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C2AE5"/>
    <w:pPr>
      <w:tabs>
        <w:tab w:val="center" w:pos="4680"/>
        <w:tab w:val="right" w:pos="9360"/>
      </w:tabs>
    </w:pPr>
  </w:style>
  <w:style w:type="character" w:customStyle="1" w:styleId="FooterChar">
    <w:name w:val="Footer Char"/>
    <w:basedOn w:val="DefaultParagraphFont"/>
    <w:link w:val="Footer"/>
    <w:uiPriority w:val="99"/>
    <w:rsid w:val="002C2AE5"/>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11F3"/>
    <w:rPr>
      <w:i/>
      <w:iCs/>
    </w:rPr>
  </w:style>
  <w:style w:type="paragraph" w:styleId="NormalWeb">
    <w:name w:val="Normal (Web)"/>
    <w:basedOn w:val="Normal"/>
    <w:uiPriority w:val="99"/>
    <w:unhideWhenUsed/>
    <w:rsid w:val="00992555"/>
    <w:pPr>
      <w:spacing w:before="100" w:beforeAutospacing="1" w:after="100" w:afterAutospacing="1"/>
    </w:pPr>
  </w:style>
  <w:style w:type="character" w:customStyle="1" w:styleId="whitespace-nowrap">
    <w:name w:val="whitespace-nowrap!"/>
    <w:basedOn w:val="DefaultParagraphFont"/>
    <w:rsid w:val="00992555"/>
  </w:style>
  <w:style w:type="table" w:styleId="PlainTable2">
    <w:name w:val="Plain Table 2"/>
    <w:basedOn w:val="TableNormal"/>
    <w:uiPriority w:val="42"/>
    <w:rsid w:val="00241F5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1D18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41157">
      <w:bodyDiv w:val="1"/>
      <w:marLeft w:val="0"/>
      <w:marRight w:val="0"/>
      <w:marTop w:val="0"/>
      <w:marBottom w:val="0"/>
      <w:divBdr>
        <w:top w:val="none" w:sz="0" w:space="0" w:color="auto"/>
        <w:left w:val="none" w:sz="0" w:space="0" w:color="auto"/>
        <w:bottom w:val="none" w:sz="0" w:space="0" w:color="auto"/>
        <w:right w:val="none" w:sz="0" w:space="0" w:color="auto"/>
      </w:divBdr>
    </w:div>
    <w:div w:id="249238522">
      <w:bodyDiv w:val="1"/>
      <w:marLeft w:val="0"/>
      <w:marRight w:val="0"/>
      <w:marTop w:val="0"/>
      <w:marBottom w:val="0"/>
      <w:divBdr>
        <w:top w:val="none" w:sz="0" w:space="0" w:color="auto"/>
        <w:left w:val="none" w:sz="0" w:space="0" w:color="auto"/>
        <w:bottom w:val="none" w:sz="0" w:space="0" w:color="auto"/>
        <w:right w:val="none" w:sz="0" w:space="0" w:color="auto"/>
      </w:divBdr>
    </w:div>
    <w:div w:id="271517824">
      <w:bodyDiv w:val="1"/>
      <w:marLeft w:val="0"/>
      <w:marRight w:val="0"/>
      <w:marTop w:val="0"/>
      <w:marBottom w:val="0"/>
      <w:divBdr>
        <w:top w:val="none" w:sz="0" w:space="0" w:color="auto"/>
        <w:left w:val="none" w:sz="0" w:space="0" w:color="auto"/>
        <w:bottom w:val="none" w:sz="0" w:space="0" w:color="auto"/>
        <w:right w:val="none" w:sz="0" w:space="0" w:color="auto"/>
      </w:divBdr>
    </w:div>
    <w:div w:id="386880303">
      <w:bodyDiv w:val="1"/>
      <w:marLeft w:val="0"/>
      <w:marRight w:val="0"/>
      <w:marTop w:val="0"/>
      <w:marBottom w:val="0"/>
      <w:divBdr>
        <w:top w:val="none" w:sz="0" w:space="0" w:color="auto"/>
        <w:left w:val="none" w:sz="0" w:space="0" w:color="auto"/>
        <w:bottom w:val="none" w:sz="0" w:space="0" w:color="auto"/>
        <w:right w:val="none" w:sz="0" w:space="0" w:color="auto"/>
      </w:divBdr>
    </w:div>
    <w:div w:id="559361375">
      <w:bodyDiv w:val="1"/>
      <w:marLeft w:val="0"/>
      <w:marRight w:val="0"/>
      <w:marTop w:val="0"/>
      <w:marBottom w:val="0"/>
      <w:divBdr>
        <w:top w:val="none" w:sz="0" w:space="0" w:color="auto"/>
        <w:left w:val="none" w:sz="0" w:space="0" w:color="auto"/>
        <w:bottom w:val="none" w:sz="0" w:space="0" w:color="auto"/>
        <w:right w:val="none" w:sz="0" w:space="0" w:color="auto"/>
      </w:divBdr>
    </w:div>
    <w:div w:id="696854625">
      <w:bodyDiv w:val="1"/>
      <w:marLeft w:val="0"/>
      <w:marRight w:val="0"/>
      <w:marTop w:val="0"/>
      <w:marBottom w:val="0"/>
      <w:divBdr>
        <w:top w:val="none" w:sz="0" w:space="0" w:color="auto"/>
        <w:left w:val="none" w:sz="0" w:space="0" w:color="auto"/>
        <w:bottom w:val="none" w:sz="0" w:space="0" w:color="auto"/>
        <w:right w:val="none" w:sz="0" w:space="0" w:color="auto"/>
      </w:divBdr>
    </w:div>
    <w:div w:id="772474121">
      <w:bodyDiv w:val="1"/>
      <w:marLeft w:val="0"/>
      <w:marRight w:val="0"/>
      <w:marTop w:val="0"/>
      <w:marBottom w:val="0"/>
      <w:divBdr>
        <w:top w:val="none" w:sz="0" w:space="0" w:color="auto"/>
        <w:left w:val="none" w:sz="0" w:space="0" w:color="auto"/>
        <w:bottom w:val="none" w:sz="0" w:space="0" w:color="auto"/>
        <w:right w:val="none" w:sz="0" w:space="0" w:color="auto"/>
      </w:divBdr>
    </w:div>
    <w:div w:id="916324602">
      <w:bodyDiv w:val="1"/>
      <w:marLeft w:val="0"/>
      <w:marRight w:val="0"/>
      <w:marTop w:val="0"/>
      <w:marBottom w:val="0"/>
      <w:divBdr>
        <w:top w:val="none" w:sz="0" w:space="0" w:color="auto"/>
        <w:left w:val="none" w:sz="0" w:space="0" w:color="auto"/>
        <w:bottom w:val="none" w:sz="0" w:space="0" w:color="auto"/>
        <w:right w:val="none" w:sz="0" w:space="0" w:color="auto"/>
      </w:divBdr>
      <w:divsChild>
        <w:div w:id="2005083724">
          <w:marLeft w:val="0"/>
          <w:marRight w:val="0"/>
          <w:marTop w:val="0"/>
          <w:marBottom w:val="0"/>
          <w:divBdr>
            <w:top w:val="none" w:sz="0" w:space="0" w:color="auto"/>
            <w:left w:val="none" w:sz="0" w:space="0" w:color="auto"/>
            <w:bottom w:val="none" w:sz="0" w:space="0" w:color="auto"/>
            <w:right w:val="none" w:sz="0" w:space="0" w:color="auto"/>
          </w:divBdr>
          <w:divsChild>
            <w:div w:id="2050496283">
              <w:marLeft w:val="0"/>
              <w:marRight w:val="0"/>
              <w:marTop w:val="0"/>
              <w:marBottom w:val="0"/>
              <w:divBdr>
                <w:top w:val="none" w:sz="0" w:space="0" w:color="auto"/>
                <w:left w:val="none" w:sz="0" w:space="0" w:color="auto"/>
                <w:bottom w:val="none" w:sz="0" w:space="0" w:color="auto"/>
                <w:right w:val="none" w:sz="0" w:space="0" w:color="auto"/>
              </w:divBdr>
              <w:divsChild>
                <w:div w:id="1527786970">
                  <w:marLeft w:val="0"/>
                  <w:marRight w:val="0"/>
                  <w:marTop w:val="0"/>
                  <w:marBottom w:val="0"/>
                  <w:divBdr>
                    <w:top w:val="none" w:sz="0" w:space="0" w:color="auto"/>
                    <w:left w:val="none" w:sz="0" w:space="0" w:color="auto"/>
                    <w:bottom w:val="none" w:sz="0" w:space="0" w:color="auto"/>
                    <w:right w:val="none" w:sz="0" w:space="0" w:color="auto"/>
                  </w:divBdr>
                  <w:divsChild>
                    <w:div w:id="522019956">
                      <w:marLeft w:val="0"/>
                      <w:marRight w:val="0"/>
                      <w:marTop w:val="0"/>
                      <w:marBottom w:val="0"/>
                      <w:divBdr>
                        <w:top w:val="none" w:sz="0" w:space="0" w:color="auto"/>
                        <w:left w:val="none" w:sz="0" w:space="0" w:color="auto"/>
                        <w:bottom w:val="none" w:sz="0" w:space="0" w:color="auto"/>
                        <w:right w:val="none" w:sz="0" w:space="0" w:color="auto"/>
                      </w:divBdr>
                      <w:divsChild>
                        <w:div w:id="1435125385">
                          <w:marLeft w:val="0"/>
                          <w:marRight w:val="0"/>
                          <w:marTop w:val="0"/>
                          <w:marBottom w:val="0"/>
                          <w:divBdr>
                            <w:top w:val="none" w:sz="0" w:space="0" w:color="auto"/>
                            <w:left w:val="none" w:sz="0" w:space="0" w:color="auto"/>
                            <w:bottom w:val="none" w:sz="0" w:space="0" w:color="auto"/>
                            <w:right w:val="none" w:sz="0" w:space="0" w:color="auto"/>
                          </w:divBdr>
                          <w:divsChild>
                            <w:div w:id="117847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7409">
                  <w:marLeft w:val="0"/>
                  <w:marRight w:val="0"/>
                  <w:marTop w:val="0"/>
                  <w:marBottom w:val="0"/>
                  <w:divBdr>
                    <w:top w:val="none" w:sz="0" w:space="0" w:color="auto"/>
                    <w:left w:val="none" w:sz="0" w:space="0" w:color="auto"/>
                    <w:bottom w:val="none" w:sz="0" w:space="0" w:color="auto"/>
                    <w:right w:val="none" w:sz="0" w:space="0" w:color="auto"/>
                  </w:divBdr>
                  <w:divsChild>
                    <w:div w:id="2336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583524">
      <w:bodyDiv w:val="1"/>
      <w:marLeft w:val="0"/>
      <w:marRight w:val="0"/>
      <w:marTop w:val="0"/>
      <w:marBottom w:val="0"/>
      <w:divBdr>
        <w:top w:val="none" w:sz="0" w:space="0" w:color="auto"/>
        <w:left w:val="none" w:sz="0" w:space="0" w:color="auto"/>
        <w:bottom w:val="none" w:sz="0" w:space="0" w:color="auto"/>
        <w:right w:val="none" w:sz="0" w:space="0" w:color="auto"/>
      </w:divBdr>
    </w:div>
    <w:div w:id="1068307920">
      <w:bodyDiv w:val="1"/>
      <w:marLeft w:val="0"/>
      <w:marRight w:val="0"/>
      <w:marTop w:val="0"/>
      <w:marBottom w:val="0"/>
      <w:divBdr>
        <w:top w:val="none" w:sz="0" w:space="0" w:color="auto"/>
        <w:left w:val="none" w:sz="0" w:space="0" w:color="auto"/>
        <w:bottom w:val="none" w:sz="0" w:space="0" w:color="auto"/>
        <w:right w:val="none" w:sz="0" w:space="0" w:color="auto"/>
      </w:divBdr>
    </w:div>
    <w:div w:id="1147934642">
      <w:bodyDiv w:val="1"/>
      <w:marLeft w:val="0"/>
      <w:marRight w:val="0"/>
      <w:marTop w:val="0"/>
      <w:marBottom w:val="0"/>
      <w:divBdr>
        <w:top w:val="none" w:sz="0" w:space="0" w:color="auto"/>
        <w:left w:val="none" w:sz="0" w:space="0" w:color="auto"/>
        <w:bottom w:val="none" w:sz="0" w:space="0" w:color="auto"/>
        <w:right w:val="none" w:sz="0" w:space="0" w:color="auto"/>
      </w:divBdr>
    </w:div>
    <w:div w:id="1155219137">
      <w:bodyDiv w:val="1"/>
      <w:marLeft w:val="0"/>
      <w:marRight w:val="0"/>
      <w:marTop w:val="0"/>
      <w:marBottom w:val="0"/>
      <w:divBdr>
        <w:top w:val="none" w:sz="0" w:space="0" w:color="auto"/>
        <w:left w:val="none" w:sz="0" w:space="0" w:color="auto"/>
        <w:bottom w:val="none" w:sz="0" w:space="0" w:color="auto"/>
        <w:right w:val="none" w:sz="0" w:space="0" w:color="auto"/>
      </w:divBdr>
    </w:div>
    <w:div w:id="1301227842">
      <w:bodyDiv w:val="1"/>
      <w:marLeft w:val="0"/>
      <w:marRight w:val="0"/>
      <w:marTop w:val="0"/>
      <w:marBottom w:val="0"/>
      <w:divBdr>
        <w:top w:val="none" w:sz="0" w:space="0" w:color="auto"/>
        <w:left w:val="none" w:sz="0" w:space="0" w:color="auto"/>
        <w:bottom w:val="none" w:sz="0" w:space="0" w:color="auto"/>
        <w:right w:val="none" w:sz="0" w:space="0" w:color="auto"/>
      </w:divBdr>
    </w:div>
    <w:div w:id="1373380301">
      <w:bodyDiv w:val="1"/>
      <w:marLeft w:val="0"/>
      <w:marRight w:val="0"/>
      <w:marTop w:val="0"/>
      <w:marBottom w:val="0"/>
      <w:divBdr>
        <w:top w:val="none" w:sz="0" w:space="0" w:color="auto"/>
        <w:left w:val="none" w:sz="0" w:space="0" w:color="auto"/>
        <w:bottom w:val="none" w:sz="0" w:space="0" w:color="auto"/>
        <w:right w:val="none" w:sz="0" w:space="0" w:color="auto"/>
      </w:divBdr>
    </w:div>
    <w:div w:id="1384596957">
      <w:bodyDiv w:val="1"/>
      <w:marLeft w:val="0"/>
      <w:marRight w:val="0"/>
      <w:marTop w:val="0"/>
      <w:marBottom w:val="0"/>
      <w:divBdr>
        <w:top w:val="none" w:sz="0" w:space="0" w:color="auto"/>
        <w:left w:val="none" w:sz="0" w:space="0" w:color="auto"/>
        <w:bottom w:val="none" w:sz="0" w:space="0" w:color="auto"/>
        <w:right w:val="none" w:sz="0" w:space="0" w:color="auto"/>
      </w:divBdr>
      <w:divsChild>
        <w:div w:id="139929658">
          <w:marLeft w:val="0"/>
          <w:marRight w:val="0"/>
          <w:marTop w:val="0"/>
          <w:marBottom w:val="0"/>
          <w:divBdr>
            <w:top w:val="none" w:sz="0" w:space="0" w:color="auto"/>
            <w:left w:val="none" w:sz="0" w:space="0" w:color="auto"/>
            <w:bottom w:val="none" w:sz="0" w:space="0" w:color="auto"/>
            <w:right w:val="none" w:sz="0" w:space="0" w:color="auto"/>
          </w:divBdr>
          <w:divsChild>
            <w:div w:id="926960459">
              <w:marLeft w:val="0"/>
              <w:marRight w:val="0"/>
              <w:marTop w:val="0"/>
              <w:marBottom w:val="0"/>
              <w:divBdr>
                <w:top w:val="none" w:sz="0" w:space="0" w:color="auto"/>
                <w:left w:val="none" w:sz="0" w:space="0" w:color="auto"/>
                <w:bottom w:val="none" w:sz="0" w:space="0" w:color="auto"/>
                <w:right w:val="none" w:sz="0" w:space="0" w:color="auto"/>
              </w:divBdr>
              <w:divsChild>
                <w:div w:id="1760635773">
                  <w:marLeft w:val="0"/>
                  <w:marRight w:val="0"/>
                  <w:marTop w:val="0"/>
                  <w:marBottom w:val="0"/>
                  <w:divBdr>
                    <w:top w:val="none" w:sz="0" w:space="0" w:color="auto"/>
                    <w:left w:val="none" w:sz="0" w:space="0" w:color="auto"/>
                    <w:bottom w:val="none" w:sz="0" w:space="0" w:color="auto"/>
                    <w:right w:val="none" w:sz="0" w:space="0" w:color="auto"/>
                  </w:divBdr>
                  <w:divsChild>
                    <w:div w:id="1770150651">
                      <w:marLeft w:val="0"/>
                      <w:marRight w:val="0"/>
                      <w:marTop w:val="0"/>
                      <w:marBottom w:val="0"/>
                      <w:divBdr>
                        <w:top w:val="none" w:sz="0" w:space="0" w:color="auto"/>
                        <w:left w:val="none" w:sz="0" w:space="0" w:color="auto"/>
                        <w:bottom w:val="none" w:sz="0" w:space="0" w:color="auto"/>
                        <w:right w:val="none" w:sz="0" w:space="0" w:color="auto"/>
                      </w:divBdr>
                      <w:divsChild>
                        <w:div w:id="1716344550">
                          <w:marLeft w:val="0"/>
                          <w:marRight w:val="0"/>
                          <w:marTop w:val="0"/>
                          <w:marBottom w:val="0"/>
                          <w:divBdr>
                            <w:top w:val="none" w:sz="0" w:space="0" w:color="auto"/>
                            <w:left w:val="none" w:sz="0" w:space="0" w:color="auto"/>
                            <w:bottom w:val="none" w:sz="0" w:space="0" w:color="auto"/>
                            <w:right w:val="none" w:sz="0" w:space="0" w:color="auto"/>
                          </w:divBdr>
                          <w:divsChild>
                            <w:div w:id="12601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16957">
                  <w:marLeft w:val="0"/>
                  <w:marRight w:val="0"/>
                  <w:marTop w:val="0"/>
                  <w:marBottom w:val="0"/>
                  <w:divBdr>
                    <w:top w:val="none" w:sz="0" w:space="0" w:color="auto"/>
                    <w:left w:val="none" w:sz="0" w:space="0" w:color="auto"/>
                    <w:bottom w:val="none" w:sz="0" w:space="0" w:color="auto"/>
                    <w:right w:val="none" w:sz="0" w:space="0" w:color="auto"/>
                  </w:divBdr>
                  <w:divsChild>
                    <w:div w:id="18018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282944">
      <w:bodyDiv w:val="1"/>
      <w:marLeft w:val="0"/>
      <w:marRight w:val="0"/>
      <w:marTop w:val="0"/>
      <w:marBottom w:val="0"/>
      <w:divBdr>
        <w:top w:val="none" w:sz="0" w:space="0" w:color="auto"/>
        <w:left w:val="none" w:sz="0" w:space="0" w:color="auto"/>
        <w:bottom w:val="none" w:sz="0" w:space="0" w:color="auto"/>
        <w:right w:val="none" w:sz="0" w:space="0" w:color="auto"/>
      </w:divBdr>
    </w:div>
    <w:div w:id="1614098165">
      <w:bodyDiv w:val="1"/>
      <w:marLeft w:val="0"/>
      <w:marRight w:val="0"/>
      <w:marTop w:val="0"/>
      <w:marBottom w:val="0"/>
      <w:divBdr>
        <w:top w:val="none" w:sz="0" w:space="0" w:color="auto"/>
        <w:left w:val="none" w:sz="0" w:space="0" w:color="auto"/>
        <w:bottom w:val="none" w:sz="0" w:space="0" w:color="auto"/>
        <w:right w:val="none" w:sz="0" w:space="0" w:color="auto"/>
      </w:divBdr>
    </w:div>
    <w:div w:id="1794208383">
      <w:bodyDiv w:val="1"/>
      <w:marLeft w:val="0"/>
      <w:marRight w:val="0"/>
      <w:marTop w:val="0"/>
      <w:marBottom w:val="0"/>
      <w:divBdr>
        <w:top w:val="none" w:sz="0" w:space="0" w:color="auto"/>
        <w:left w:val="none" w:sz="0" w:space="0" w:color="auto"/>
        <w:bottom w:val="none" w:sz="0" w:space="0" w:color="auto"/>
        <w:right w:val="none" w:sz="0" w:space="0" w:color="auto"/>
      </w:divBdr>
    </w:div>
    <w:div w:id="1816750146">
      <w:bodyDiv w:val="1"/>
      <w:marLeft w:val="0"/>
      <w:marRight w:val="0"/>
      <w:marTop w:val="0"/>
      <w:marBottom w:val="0"/>
      <w:divBdr>
        <w:top w:val="none" w:sz="0" w:space="0" w:color="auto"/>
        <w:left w:val="none" w:sz="0" w:space="0" w:color="auto"/>
        <w:bottom w:val="none" w:sz="0" w:space="0" w:color="auto"/>
        <w:right w:val="none" w:sz="0" w:space="0" w:color="auto"/>
      </w:divBdr>
    </w:div>
    <w:div w:id="1892109124">
      <w:bodyDiv w:val="1"/>
      <w:marLeft w:val="0"/>
      <w:marRight w:val="0"/>
      <w:marTop w:val="0"/>
      <w:marBottom w:val="0"/>
      <w:divBdr>
        <w:top w:val="none" w:sz="0" w:space="0" w:color="auto"/>
        <w:left w:val="none" w:sz="0" w:space="0" w:color="auto"/>
        <w:bottom w:val="none" w:sz="0" w:space="0" w:color="auto"/>
        <w:right w:val="none" w:sz="0" w:space="0" w:color="auto"/>
      </w:divBdr>
    </w:div>
    <w:div w:id="2030720308">
      <w:bodyDiv w:val="1"/>
      <w:marLeft w:val="0"/>
      <w:marRight w:val="0"/>
      <w:marTop w:val="0"/>
      <w:marBottom w:val="0"/>
      <w:divBdr>
        <w:top w:val="none" w:sz="0" w:space="0" w:color="auto"/>
        <w:left w:val="none" w:sz="0" w:space="0" w:color="auto"/>
        <w:bottom w:val="none" w:sz="0" w:space="0" w:color="auto"/>
        <w:right w:val="none" w:sz="0" w:space="0" w:color="auto"/>
      </w:divBdr>
    </w:div>
    <w:div w:id="2100103882">
      <w:bodyDiv w:val="1"/>
      <w:marLeft w:val="0"/>
      <w:marRight w:val="0"/>
      <w:marTop w:val="0"/>
      <w:marBottom w:val="0"/>
      <w:divBdr>
        <w:top w:val="none" w:sz="0" w:space="0" w:color="auto"/>
        <w:left w:val="none" w:sz="0" w:space="0" w:color="auto"/>
        <w:bottom w:val="none" w:sz="0" w:space="0" w:color="auto"/>
        <w:right w:val="none" w:sz="0" w:space="0" w:color="auto"/>
      </w:divBdr>
    </w:div>
    <w:div w:id="2113621526">
      <w:bodyDiv w:val="1"/>
      <w:marLeft w:val="0"/>
      <w:marRight w:val="0"/>
      <w:marTop w:val="0"/>
      <w:marBottom w:val="0"/>
      <w:divBdr>
        <w:top w:val="none" w:sz="0" w:space="0" w:color="auto"/>
        <w:left w:val="none" w:sz="0" w:space="0" w:color="auto"/>
        <w:bottom w:val="none" w:sz="0" w:space="0" w:color="auto"/>
        <w:right w:val="none" w:sz="0" w:space="0" w:color="auto"/>
      </w:divBdr>
    </w:div>
    <w:div w:id="2115711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5662</Words>
  <Characters>32278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Fathi Jouzdani</dc:creator>
  <cp:keywords/>
  <dc:description/>
  <cp:lastModifiedBy>Arman Gorji</cp:lastModifiedBy>
  <cp:revision>11</cp:revision>
  <dcterms:created xsi:type="dcterms:W3CDTF">2025-11-25T20:37:00Z</dcterms:created>
  <dcterms:modified xsi:type="dcterms:W3CDTF">2025-12-29T12:10:00Z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92b4945a-3834-4232-b6f2-10c8192e49bc</vt:lpwstr>
  </property>
</Properties>
</file>