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b/>
          <w:bCs/>
          <w:color w:val="1F3352"/>
          <w:sz w:val="40"/>
          <w:szCs w:val="40"/>
        </w:rPr>
        <w:t xml:space="preserve">CodeGuard AI — File Book</w:t>
      </w:r>
    </w:p>
    <w:p>
      <w:pPr>
        <w:pBdr>
          <w:bottom w:val="single" w:color="C9CCD1" w:sz="6" w:space="6"/>
        </w:pBdr>
        <w:spacing w:after="300"/>
      </w:pPr>
      <w:r>
        <w:rPr>
          <w:i/>
          <w:iCs/>
          <w:color w:val="5A5A5A"/>
          <w:sz w:val="20"/>
          <w:szCs w:val="20"/>
        </w:rPr>
        <w:t xml:space="preserve">One entry per file. Nine fixed headings. The viva reference.</w:t>
      </w:r>
    </w:p>
    <w:p>
      <w:pPr>
        <w:spacing w:after="120"/>
      </w:pPr>
      <w:r>
        <w:rPr>
          <w:b w:val="false"/>
          <w:bCs w:val="false"/>
          <w:i w:val="false"/>
          <w:iCs w:val="false"/>
          <w:color w:val="5A5A5A"/>
          <w:sz w:val="19"/>
          <w:szCs w:val="19"/>
        </w:rPr>
        <w:t xml:space="preserve">Mohd Saqlain Hussain (BCS2023126) · B.Tech CSE, Invertis University, Bareilly · AY 2026–27</w:t>
      </w:r>
    </w:p>
    <w:p>
      <w:pPr>
        <w:spacing w:after="120"/>
      </w:pPr>
      <w:r>
        <w:rPr>
          <w:b w:val="false"/>
          <w:bCs w:val="false"/>
          <w:i/>
          <w:iCs/>
          <w:color w:val="5A5A5A"/>
          <w:sz w:val="19"/>
          <w:szCs w:val="19"/>
        </w:rPr>
        <w:t xml:space="preserve">Companion document: CodeGuard AI — Reference Notebook (daily log, glossary, decisions).</w:t>
      </w:r>
    </w:p>
    <w:p>
      <w:pPr>
        <w:pStyle w:val="Heading1"/>
        <w:pBdr>
          <w:bottom w:val="single" w:color="8A6D1F" w:sz="8" w:space="4"/>
        </w:pBdr>
        <w:spacing w:after="160" w:before="420"/>
      </w:pPr>
      <w:r>
        <w:rPr>
          <w:b/>
          <w:bCs/>
          <w:color w:val="1F3352"/>
          <w:sz w:val="28"/>
          <w:szCs w:val="28"/>
        </w:rPr>
        <w:t xml:space="preserve">How to keep this document</w:t>
      </w:r>
    </w:p>
    <w:p>
      <w:pPr>
        <w:pStyle w:val="ListParagraph"/>
        <w:numPr>
          <w:ilvl w:val="0"/>
          <w:numId w:val="1"/>
        </w:numPr>
        <w:spacing w:after="60"/>
      </w:pPr>
      <w:r>
        <w:rPr>
          <w:b/>
          <w:bCs/>
          <w:sz w:val="20"/>
          <w:szCs w:val="20"/>
        </w:rPr>
        <w:t xml:space="preserve">One entry per file</w:t>
      </w:r>
      <w:r>
        <w:rPr>
          <w:sz w:val="20"/>
          <w:szCs w:val="20"/>
        </w:rPr>
        <w:t xml:space="preserve">, added the same day the file is created. Every file gets one, including trivial config.</w:t>
      </w:r>
    </w:p>
    <w:p>
      <w:pPr>
        <w:pStyle w:val="ListParagraph"/>
        <w:numPr>
          <w:ilvl w:val="0"/>
          <w:numId w:val="1"/>
        </w:numPr>
        <w:spacing w:after="60"/>
      </w:pPr>
      <w:r>
        <w:rPr>
          <w:b/>
          <w:bCs/>
          <w:sz w:val="20"/>
          <w:szCs w:val="20"/>
        </w:rPr>
        <w:t xml:space="preserve">The nine headings are fixed</w:t>
      </w:r>
      <w:r>
        <w:rPr>
          <w:sz w:val="20"/>
          <w:szCs w:val="20"/>
        </w:rPr>
        <w:t xml:space="preserve"> and always appear in the same order, even when the honest answer is “None.”</w:t>
      </w:r>
    </w:p>
    <w:p>
      <w:pPr>
        <w:pStyle w:val="ListParagraph"/>
        <w:numPr>
          <w:ilvl w:val="0"/>
          <w:numId w:val="1"/>
        </w:numPr>
        <w:spacing w:after="60"/>
      </w:pPr>
      <w:r>
        <w:rPr>
          <w:b/>
          <w:bCs/>
          <w:sz w:val="20"/>
          <w:szCs w:val="20"/>
        </w:rPr>
        <w:t xml:space="preserve">Heading 4 is the revisit space</w:t>
      </w:r>
      <w:r>
        <w:rPr>
          <w:sz w:val="20"/>
          <w:szCs w:val="20"/>
        </w:rPr>
        <w:t xml:space="preserve">. When a file is changed later, add a dated line there rather than editing the original text. The file’s whole history stays on one page.</w:t>
      </w:r>
    </w:p>
    <w:p>
      <w:pPr>
        <w:pStyle w:val="ListParagraph"/>
        <w:numPr>
          <w:ilvl w:val="0"/>
          <w:numId w:val="1"/>
        </w:numPr>
        <w:spacing w:after="60"/>
      </w:pPr>
      <w:r>
        <w:rPr>
          <w:b/>
          <w:bCs/>
          <w:sz w:val="20"/>
          <w:szCs w:val="20"/>
        </w:rPr>
        <w:t xml:space="preserve">Use the Navigation Pane</w:t>
      </w:r>
      <w:r>
        <w:rPr>
          <w:sz w:val="20"/>
          <w:szCs w:val="20"/>
        </w:rPr>
        <w:t xml:space="preserve"> (View → Navigation Pane) as the index.</w:t>
      </w:r>
    </w:p>
    <w:p>
      <w:r>
        <w:br w:type="page"/>
      </w:r>
    </w:p>
    <w:p>
      <w:pPr>
        <w:pStyle w:val="Heading1"/>
        <w:pBdr>
          <w:bottom w:val="single" w:color="8A6D1F" w:sz="8" w:space="4"/>
        </w:pBdr>
        <w:spacing w:after="160" w:before="420"/>
      </w:pPr>
      <w:r>
        <w:rPr>
          <w:b/>
          <w:bCs/>
          <w:color w:val="1F3352"/>
          <w:sz w:val="28"/>
          <w:szCs w:val="28"/>
        </w:rPr>
        <w:t xml:space="preserve">File 001 — README.md</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Entry point for four audiences: teammates setting up, the guide at review meetings, the external examiner forming a first impression, and me in month 7 having forgotten a decision. GitHub renders it automatically at the repository root, so it is unavoidably the project’s front page.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GitHub only auto-renders a file named README.md at the root — anywhere else and nobody finds it. It is also distinct from PROJECT_NOTES.md by time direction: the README says what the project is and gets rewritten as reality changes, while the log says how it became that and is never edited.</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Problem statement (what MOSS and JPlag miss) · the “evidence not verdict” framing · three-layer table and the RPS formula · baseline integrity with all five mitigations and the honest limitation · ASCII architecture diagram · tech stack · repository layout · setup commands · scope in and out · team table.</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04 Sep 2026 — rebuilt after a paste error dropped the RPS formula into the wrong section, emptied the repository-layout block and unfenced the architecture diagram. Cause was nested triple-backtick fences.</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Repository root, beside .gitignore. No runtime. Imports nothing and is imported by nothing. Its one hard dependency is truthfulness: every path and command in it must actually work.</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Markdown (GitHub Flavored) is a markup format, not a library.</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Documentation file.</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README · Markdown · GitHub Flavored Markdown · fenced code block · repository · repository root · commit · untracked file · upstream remote · main vs master branch</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Markdown over plain text</w:t>
      </w:r>
      <w:r>
        <w:rPr>
          <w:sz w:val="20"/>
          <w:szCs w:val="20"/>
        </w:rPr>
        <w:t xml:space="preserve"> — GitHub renders headings and tables; a .txt file shows as an undifferentiated wall.</w:t>
      </w:r>
    </w:p>
    <w:p>
      <w:pPr>
        <w:pStyle w:val="ListParagraph"/>
        <w:numPr>
          <w:ilvl w:val="0"/>
          <w:numId w:val="1"/>
        </w:numPr>
        <w:spacing w:after="60"/>
      </w:pPr>
      <w:r>
        <w:rPr>
          <w:b/>
          <w:bCs/>
          <w:sz w:val="20"/>
          <w:szCs w:val="20"/>
        </w:rPr>
        <w:t xml:space="preserve">Markdown over HTML</w:t>
      </w:r>
      <w:r>
        <w:rPr>
          <w:sz w:val="20"/>
          <w:szCs w:val="20"/>
        </w:rPr>
        <w:t xml:space="preserve"> — Markdown stays readable as a raw file and produces clean git diffs.</w:t>
      </w:r>
    </w:p>
    <w:p>
      <w:pPr>
        <w:pStyle w:val="ListParagraph"/>
        <w:numPr>
          <w:ilvl w:val="0"/>
          <w:numId w:val="1"/>
        </w:numPr>
        <w:spacing w:after="60"/>
      </w:pPr>
      <w:r>
        <w:rPr>
          <w:b/>
          <w:bCs/>
          <w:sz w:val="20"/>
          <w:szCs w:val="20"/>
        </w:rPr>
        <w:t xml:space="preserve">One README over three split documents</w:t>
      </w:r>
      <w:r>
        <w:rPr>
          <w:sz w:val="20"/>
          <w:szCs w:val="20"/>
        </w:rPr>
        <w:t xml:space="preserve"> — splitting fragments the entry point at our size. Revisit past roughly 250 lines.</w:t>
      </w:r>
    </w:p>
    <w:p>
      <w:pPr>
        <w:pStyle w:val="ListParagraph"/>
        <w:numPr>
          <w:ilvl w:val="0"/>
          <w:numId w:val="1"/>
        </w:numPr>
        <w:spacing w:after="60"/>
      </w:pPr>
      <w:r>
        <w:rPr>
          <w:b/>
          <w:bCs/>
          <w:sz w:val="20"/>
          <w:szCs w:val="20"/>
        </w:rPr>
        <w:t xml:space="preserve">ASCII diagram over an image</w:t>
      </w:r>
      <w:r>
        <w:rPr>
          <w:sz w:val="20"/>
          <w:szCs w:val="20"/>
        </w:rPr>
        <w:t xml:space="preserve"> — renders in GitHub, terminals and git diffs, can be reviewed in a pull request, and never breaks on a path change.</w:t>
      </w:r>
    </w:p>
    <w:p>
      <w:pPr>
        <w:pStyle w:val="ListParagraph"/>
        <w:numPr>
          <w:ilvl w:val="0"/>
          <w:numId w:val="1"/>
        </w:numPr>
        <w:spacing w:after="60"/>
      </w:pPr>
      <w:r>
        <w:rPr>
          <w:b/>
          <w:bCs/>
          <w:sz w:val="20"/>
          <w:szCs w:val="20"/>
        </w:rPr>
        <w:t xml:space="preserve">No shields.io badges</w:t>
      </w:r>
      <w:r>
        <w:rPr>
          <w:sz w:val="20"/>
          <w:szCs w:val="20"/>
        </w:rPr>
        <w:t xml:space="preserve"> — every badge is a live third-party request and a broken one looks worse than none. Revisit at File 088 when CI exists.</w:t>
      </w:r>
    </w:p>
    <w:p>
      <w:r>
        <w:br w:type="page"/>
      </w:r>
    </w:p>
    <w:p>
      <w:pPr>
        <w:pStyle w:val="Heading1"/>
        <w:pBdr>
          <w:bottom w:val="single" w:color="8A6D1F" w:sz="8" w:space="4"/>
        </w:pBdr>
        <w:spacing w:after="160" w:before="420"/>
      </w:pPr>
      <w:r>
        <w:rPr>
          <w:b/>
          <w:bCs/>
          <w:color w:val="1F3352"/>
          <w:sz w:val="28"/>
          <w:szCs w:val="28"/>
        </w:rPr>
        <w:t xml:space="preserve">File 002 — .gitignore</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Git tracks everything by default. Three classes of file must never enter history: secrets (permanent once committed — deleting them later does not remove them from earlier commits), generated files (node_modules is roughly 40,000 files and regenerable from package.json), and machine-local junk (.DS_Store, Thumbs.db) that describes one person’s computer rather than the project. This is File 002 because it must exist before anything can generate a file worth hiding.</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Git offers no alternative — the rules live in a file with that exact name. The real choice was one root file versus one per directory. Root wins because the patterns overlap heavily across apps/api, apps/detector, apps/web and harness, and split files drift until a secret slips through the gap. It also means one place to look when git refuses to track something.</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About 75 glob patterns in eleven groups: secrets and environment · Node · Python · build output · tests and coverage · ML artifacts and datasets · generated benchmark pairs · local Docker volume data · Android · editors · OS · logs and temp.</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Repository root. Read automatically by git on every add, status and commit, and applied to every path including all subdirectories.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Read directly by git’s path-matching engine. The syntax is glob patterns, not regular expressions.</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Declarative configuration.</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glob pattern · character class · negation pattern · anchored pattern · tracked vs untracked · staging area (index) · working directory · hidden file · bytecode · virtual environment · model checkpoint · .gitkeep convention</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Hand-written over gitignore.io</w:t>
      </w:r>
      <w:r>
        <w:rPr>
          <w:sz w:val="20"/>
          <w:szCs w:val="20"/>
        </w:rPr>
        <w:t xml:space="preserve"> — the generator produces roughly 400 correct lines, but every one is a line I cannot explain in a viva. Ours is short enough to defend entirely.</w:t>
      </w:r>
    </w:p>
    <w:p>
      <w:pPr>
        <w:pStyle w:val="ListParagraph"/>
        <w:numPr>
          <w:ilvl w:val="0"/>
          <w:numId w:val="1"/>
        </w:numPr>
        <w:spacing w:after="60"/>
      </w:pPr>
      <w:r>
        <w:rPr>
          <w:b/>
          <w:bCs/>
          <w:sz w:val="20"/>
          <w:szCs w:val="20"/>
        </w:rPr>
        <w:t xml:space="preserve">.gitignore over .git/info/exclude</w:t>
      </w:r>
      <w:r>
        <w:rPr>
          <w:sz w:val="20"/>
          <w:szCs w:val="20"/>
        </w:rPr>
        <w:t xml:space="preserve"> — the latter is not committed, so it applies only to my machine — wrong for a four-person team.</w:t>
      </w:r>
    </w:p>
    <w:p>
      <w:pPr>
        <w:pStyle w:val="ListParagraph"/>
        <w:numPr>
          <w:ilvl w:val="0"/>
          <w:numId w:val="1"/>
        </w:numPr>
        <w:spacing w:after="60"/>
      </w:pPr>
      <w:r>
        <w:rPr>
          <w:b/>
          <w:bCs/>
          <w:sz w:val="20"/>
          <w:szCs w:val="20"/>
        </w:rPr>
        <w:t xml:space="preserve">Ignore ML checkpoints over Git LFS</w:t>
      </w:r>
      <w:r>
        <w:rPr>
          <w:sz w:val="20"/>
          <w:szCs w:val="20"/>
        </w:rPr>
        <w:t xml:space="preserve"> — checkpoints are reproducible from ml/train.py with a fixed seed, so they do not need versioning. LFS adds a setup step for every teammate plus GitHub bandwidth quotas.</w:t>
      </w:r>
    </w:p>
    <w:p>
      <w:pPr>
        <w:pStyle w:val="ListParagraph"/>
        <w:numPr>
          <w:ilvl w:val="0"/>
          <w:numId w:val="1"/>
        </w:numPr>
        <w:spacing w:after="60"/>
      </w:pPr>
      <w:r>
        <w:rPr>
          <w:b/>
          <w:bCs/>
          <w:sz w:val="20"/>
          <w:szCs w:val="20"/>
        </w:rPr>
        <w:t xml:space="preserve">Explicit patterns over * plus an allowlist</w:t>
      </w:r>
      <w:r>
        <w:rPr>
          <w:sz w:val="20"/>
          <w:szCs w:val="20"/>
        </w:rPr>
        <w:t xml:space="preserve"> — maximally safe against leaks and awful to work with — every new file would require editing .gitignore first.</w:t>
      </w:r>
    </w:p>
    <w:p>
      <w:pPr>
        <w:pStyle w:val="Heading3"/>
        <w:spacing w:after="80" w:before="200"/>
      </w:pPr>
      <w:r>
        <w:rPr>
          <w:b/>
          <w:bCs/>
          <w:color w:val="8A6D1F"/>
          <w:sz w:val="21"/>
          <w:szCs w:val="21"/>
        </w:rPr>
        <w:t xml:space="preserve">Gotcha</w:t>
      </w:r>
    </w:p>
    <w:p>
      <w:pPr>
        <w:pStyle w:val="ListParagraph"/>
        <w:numPr>
          <w:ilvl w:val="0"/>
          <w:numId w:val="1"/>
        </w:numPr>
        <w:spacing w:after="60"/>
      </w:pPr>
      <w:r>
        <w:rPr>
          <w:sz w:val="20"/>
          <w:szCs w:val="20"/>
        </w:rPr>
        <w:t xml:space="preserve">.gitignore has no effect on files git is already tracking. If something is committed and then ignored, git keeps tracking it and keeps recording every change.</w:t>
      </w:r>
    </w:p>
    <w:p>
      <w:pPr>
        <w:pStyle w:val="ListParagraph"/>
        <w:numPr>
          <w:ilvl w:val="0"/>
          <w:numId w:val="1"/>
        </w:numPr>
        <w:spacing w:after="60"/>
      </w:pPr>
      <w:r>
        <w:rPr>
          <w:sz w:val="20"/>
          <w:szCs w:val="20"/>
        </w:rPr>
        <w:t xml:space="preserve">Fix: git rm --cached &lt;file&gt;. The --cached flag removes it from tracking but leaves it on disk. Without the flag, git rm deletes the real file.</w:t>
      </w:r>
    </w:p>
    <w:p>
      <w:r>
        <w:br w:type="page"/>
      </w:r>
    </w:p>
    <w:p>
      <w:pPr>
        <w:pStyle w:val="Heading1"/>
        <w:pBdr>
          <w:bottom w:val="single" w:color="8A6D1F" w:sz="8" w:space="4"/>
        </w:pBdr>
        <w:spacing w:after="160" w:before="420"/>
      </w:pPr>
      <w:r>
        <w:rPr>
          <w:b/>
          <w:bCs/>
          <w:color w:val="1F3352"/>
          <w:sz w:val="28"/>
          <w:szCs w:val="28"/>
        </w:rPr>
        <w:t xml:space="preserve">File 003 — docs/PROJECT_NOTES.md</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Raw material for the report’s methodology, design-decisions and problems chapters. The answer sheet for the viva. Dated proof the project was built steadily rather than assembled in the last six weeks. And I will forget — not “might.” The reason a line was written is obvious the day it is written and gone within a fortnight.</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From README.md by time direction: the README says what the project is; this says how it became that. From git commit messages by depth: a commit records what changed, not the alternatives rejected or the hours lost. From the daily-log section by audience: that one is mine, in my voice; this one is the project’s, read by four people and two examiners. In docs/ because the repository root is reserved for files that tooling requires there.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Header and purpose statement · five conventions (append-only, one entry per file, date and file numbering, revisits as new entries, commit prefixes) · the ten-heading entry template.</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docs/PROJECT_NOTES.md. No runtime. Read by humans, and by me when writing the report. Its one dependency is a convention: the file number must match the README build order, the File Index and this document.</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append-only record · engineering log · Conventional Commits · Architecture Decision Record (ADR) · git diff --stat · modified vs new file in git status</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Markdown in the repository over Notion or Google Docs</w:t>
      </w:r>
      <w:r>
        <w:rPr>
          <w:sz w:val="20"/>
          <w:szCs w:val="20"/>
        </w:rPr>
        <w:t xml:space="preserve"> — it lives beside the code it describes, it is version-controlled so entry timestamps are themselves evidence of steady work, and it will still exist in 2027 when a Notion workspace might not.</w:t>
      </w:r>
    </w:p>
    <w:p>
      <w:pPr>
        <w:pStyle w:val="ListParagraph"/>
        <w:numPr>
          <w:ilvl w:val="0"/>
          <w:numId w:val="1"/>
        </w:numPr>
        <w:spacing w:after="60"/>
      </w:pPr>
      <w:r>
        <w:rPr>
          <w:b/>
          <w:bCs/>
          <w:sz w:val="20"/>
          <w:szCs w:val="20"/>
        </w:rPr>
        <w:t xml:space="preserve">One chronological file over one per day or grouping by subsystem</w:t>
      </w:r>
      <w:r>
        <w:rPr>
          <w:sz w:val="20"/>
          <w:szCs w:val="20"/>
        </w:rPr>
        <w:t xml:space="preserve"> — grouping reads better but requires a placement decision on every entry, and daily friction is how logs die. Ctrl+F across one file also beats searching 200.</w:t>
      </w:r>
    </w:p>
    <w:p>
      <w:pPr>
        <w:pStyle w:val="ListParagraph"/>
        <w:numPr>
          <w:ilvl w:val="0"/>
          <w:numId w:val="1"/>
        </w:numPr>
        <w:spacing w:after="60"/>
      </w:pPr>
      <w:r>
        <w:rPr>
          <w:b/>
          <w:bCs/>
          <w:sz w:val="20"/>
          <w:szCs w:val="20"/>
        </w:rPr>
        <w:t xml:space="preserve">Fixed headings over free-form prose</w:t>
      </w:r>
      <w:r>
        <w:rPr>
          <w:sz w:val="20"/>
          <w:szCs w:val="20"/>
        </w:rPr>
        <w:t xml:space="preserve"> — free-form is faster and reliably omits exactly what is needed in month 10. Fixed headings force “Problem faced” and “Decision made” to be filled every time.</w:t>
      </w:r>
    </w:p>
    <w:p>
      <w:pPr>
        <w:pStyle w:val="ListParagraph"/>
        <w:numPr>
          <w:ilvl w:val="0"/>
          <w:numId w:val="1"/>
        </w:numPr>
        <w:spacing w:after="60"/>
      </w:pPr>
      <w:r>
        <w:rPr>
          <w:b/>
          <w:bCs/>
          <w:sz w:val="20"/>
          <w:szCs w:val="20"/>
        </w:rPr>
        <w:t xml:space="preserve">Not auto-generated from commit messages</w:t>
      </w:r>
      <w:r>
        <w:rPr>
          <w:sz w:val="20"/>
          <w:szCs w:val="20"/>
        </w:rPr>
        <w:t xml:space="preserve"> — a generator gives the “what” and never the rejected alternatives or the problems. The valuable content is precisely the part that cannot be automated.</w:t>
      </w:r>
    </w:p>
    <w:p>
      <w:r>
        <w:br w:type="page"/>
      </w:r>
    </w:p>
    <w:p>
      <w:pPr>
        <w:pStyle w:val="Heading1"/>
        <w:pBdr>
          <w:bottom w:val="single" w:color="8A6D1F" w:sz="8" w:space="4"/>
        </w:pBdr>
        <w:spacing w:after="160" w:before="420"/>
      </w:pPr>
      <w:r>
        <w:rPr>
          <w:b/>
          <w:bCs/>
          <w:color w:val="1F3352"/>
          <w:sz w:val="28"/>
          <w:szCs w:val="28"/>
        </w:rPr>
        <w:t xml:space="preserve">File 004 — .editorconfig</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Four people, three operating systems, six languages. Without a shared rule, one teammate’s editor reformats a whole file on save and a one-line change appears as a 200-line diff — real work hidden in noise, and merge conflicts on every line. Line endings are the sharper risk: our containers run Linux, and a CRLF shell script fails inside one with “bash: \r: command not found,” an error that says nothing about the actual cause.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 name is fixed by the EditorConfig standard — every supporting editor looks for .editorconfig. It does not replace Prettier or Ruff; it operates earlier (as you type) and wider (Dockerfile, .env, Makefile, which no formatter covers), and it works before anyone runs npm install. A root file with root = true stops the upward search, so the universal rules are written once.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Baseline [*]: UTF-8, LF, final newline, trim trailing whitespace, 2-space indent. Overrides: [*.py] and [*.{kt,kts}] use 4 spaces · [*.md] keeps trailing whitespace · [Makefile] uses tabs · [*.{bat,cmd,ps1}] uses CRLF.</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Repository root. Read by the editor — not by git, Node or Python. VS Code has no native support and needs the “EditorConfig for VS Code” extension, which is the usual reason people think the file does nothing.</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INI-format configuration.</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EditorConfig · INI format · CRLF vs LF · character encoding · UTF-8 · PEP 8 · brace expansion in globs · tabs vs spaces · Makefile · formatter vs linter</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EditorConfig over “we will all just configure the same settings”</w:t>
      </w:r>
      <w:r>
        <w:rPr>
          <w:sz w:val="20"/>
          <w:szCs w:val="20"/>
        </w:rPr>
        <w:t xml:space="preserve"> — that relies on four people configuring four editors identically and never changing them. It fails within a week, silently.</w:t>
      </w:r>
    </w:p>
    <w:p>
      <w:pPr>
        <w:pStyle w:val="ListParagraph"/>
        <w:numPr>
          <w:ilvl w:val="0"/>
          <w:numId w:val="1"/>
        </w:numPr>
        <w:spacing w:after="60"/>
      </w:pPr>
      <w:r>
        <w:rPr>
          <w:b/>
          <w:bCs/>
          <w:sz w:val="20"/>
          <w:szCs w:val="20"/>
        </w:rPr>
        <w:t xml:space="preserve">EditorConfig alongside Prettier, not instead of it</w:t>
      </w:r>
      <w:r>
        <w:rPr>
          <w:sz w:val="20"/>
          <w:szCs w:val="20"/>
        </w:rPr>
        <w:t xml:space="preserve"> — Prettier covers no Python, Kotlin, Dockerfile or .env, and requires npm install, so it does nothing for a teammate who just cloned the repo.</w:t>
      </w:r>
    </w:p>
    <w:p>
      <w:pPr>
        <w:pStyle w:val="ListParagraph"/>
        <w:numPr>
          <w:ilvl w:val="0"/>
          <w:numId w:val="1"/>
        </w:numPr>
        <w:spacing w:after="60"/>
      </w:pPr>
      <w:r>
        <w:rPr>
          <w:b/>
          <w:bCs/>
          <w:sz w:val="20"/>
          <w:szCs w:val="20"/>
        </w:rPr>
        <w:t xml:space="preserve">LF globally over git’s core.autocrlf</w:t>
      </w:r>
      <w:r>
        <w:rPr>
          <w:sz w:val="20"/>
          <w:szCs w:val="20"/>
        </w:rPr>
        <w:t xml:space="preserve"> — autocrlf is a per-machine setting that cannot be committed, and it only governs what git stores, not what the editor writes.</w:t>
      </w:r>
    </w:p>
    <w:p>
      <w:pPr>
        <w:pStyle w:val="ListParagraph"/>
        <w:numPr>
          <w:ilvl w:val="0"/>
          <w:numId w:val="1"/>
        </w:numPr>
        <w:spacing w:after="60"/>
      </w:pPr>
      <w:r>
        <w:rPr>
          <w:b/>
          <w:bCs/>
          <w:sz w:val="20"/>
          <w:szCs w:val="20"/>
        </w:rPr>
        <w:t xml:space="preserve">No max_line_length</w:t>
      </w:r>
      <w:r>
        <w:rPr>
          <w:sz w:val="20"/>
          <w:szCs w:val="20"/>
        </w:rPr>
        <w:t xml:space="preserve"> — line-length enforcement belongs to linters that understand the language and can wrap intelligently. EditorConfig would only draw a guide line.</w:t>
      </w:r>
    </w:p>
    <w:p>
      <w:pPr>
        <w:pStyle w:val="Heading3"/>
        <w:spacing w:after="80" w:before="200"/>
      </w:pPr>
      <w:r>
        <w:rPr>
          <w:b/>
          <w:bCs/>
          <w:color w:val="8A6D1F"/>
          <w:sz w:val="21"/>
          <w:szCs w:val="21"/>
        </w:rPr>
        <w:t xml:space="preserve">Known gap</w:t>
      </w:r>
    </w:p>
    <w:p>
      <w:pPr>
        <w:pStyle w:val="ListParagraph"/>
        <w:numPr>
          <w:ilvl w:val="0"/>
          <w:numId w:val="1"/>
        </w:numPr>
        <w:spacing w:after="60"/>
      </w:pPr>
      <w:r>
        <w:rPr>
          <w:sz w:val="20"/>
          <w:szCs w:val="20"/>
        </w:rPr>
        <w:t xml:space="preserve">Neither EditorConfig nor autocrlf fully solves line endings. The complete answer is a .gitattributes file with “* text=auto eol=lf”, enforcing it at the git layer regardless of local configuration.</w:t>
      </w:r>
    </w:p>
    <w:p>
      <w:pPr>
        <w:pStyle w:val="ListParagraph"/>
        <w:numPr>
          <w:ilvl w:val="0"/>
          <w:numId w:val="1"/>
        </w:numPr>
        <w:spacing w:after="60"/>
      </w:pPr>
      <w:r>
        <w:rPr>
          <w:sz w:val="20"/>
          <w:szCs w:val="20"/>
        </w:rPr>
        <w:t xml:space="preserve">Deferred until shell scripts appear in infra/ (File 006), where it starts to matter.</w:t>
      </w:r>
    </w:p>
    <w:p>
      <w:r>
        <w:br w:type="page"/>
      </w:r>
    </w:p>
    <w:p>
      <w:pPr>
        <w:pStyle w:val="Heading1"/>
        <w:pBdr>
          <w:bottom w:val="single" w:color="8A6D1F" w:sz="8" w:space="4"/>
        </w:pBdr>
        <w:spacing w:after="160" w:before="420"/>
      </w:pPr>
      <w:r>
        <w:rPr>
          <w:b/>
          <w:bCs/>
          <w:color w:val="1F3352"/>
          <w:sz w:val="28"/>
          <w:szCs w:val="28"/>
        </w:rPr>
        <w:t xml:space="preserve">File 005 — infra/.env.example</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Secrets have to reach running code somehow. Hardcoding puts them in git history permanently. A gitignored config file alone leaves a new teammate with no idea what to create. The template solves both: same keys, safe dummy values, committed. It doubles as documentation — the complete authoritative list of every external service the system talks to. This is the file the !.env.example negation in .gitignore existed for.</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From .env by design — same keys, opposite git treatment. From docker-compose.yml because structure and config change at different rates and belong to different people; merged, every teammate edits the compose file locally and it stops being mergeable. From config/env.ts because this supplies values while that validates them. In infra/ because Docker Compose automatically reads a file named .env from the directory containing the compose file — a tooling requirement, not a preference.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API port, CORS origin and log level · MongoDB credentials, database name and connection URI · Redis host and port · MinIO credentials, endpoint and bucket · two JWT secrets with 15m and 7d expiries · detector URL and 30-second timeout · upload size cap and allowed extensions.</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infra/.env.example, beside the gitignored infra/.env.</w:t>
      </w:r>
    </w:p>
    <w:p>
      <w:pPr>
        <w:spacing w:after="120"/>
      </w:pPr>
      <w:r>
        <w:rPr>
          <w:b w:val="false"/>
          <w:bCs w:val="false"/>
          <w:i w:val="false"/>
          <w:iCs w:val="false"/>
          <w:sz w:val="20"/>
          <w:szCs w:val="20"/>
        </w:rPr>
        <w:t xml:space="preserve">Runtime flow: infra/.env is read by Docker Compose → ${VAR} placeholders are substituted in docker-compose.yml → values are injected into containers as environment variables → read as process.env in Node and os.environ in Python → validated and type-coerced in apps/api/src/config/env.ts.</w:t>
      </w:r>
    </w:p>
    <w:p>
      <w:pPr>
        <w:spacing w:after="120"/>
      </w:pPr>
      <w:r>
        <w:rPr>
          <w:b w:val="false"/>
          <w:bCs w:val="false"/>
          <w:i w:val="false"/>
          <w:iCs w:val="false"/>
          <w:sz w:val="20"/>
          <w:szCs w:val="20"/>
        </w:rPr>
        <w:t xml:space="preserve">.env.example itself is read by nothing. It is a template for humans.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here. Docker Compose reads .env natively. Later: dotenv (npm) for running the API outside Docker, chosen over dotenv-safe because Zod in File 009 does validation and type coercion together; pydantic-settings on the Python side, which has type validation built in.</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Key-value data.</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environment variable · Twelve-Factor App · .env format · CORS · origin · connection string / URI · DNS · bucket · object storage · JWT · access vs refresh token · signing secret · MiB vs MB</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.env over hardcoded config</w:t>
      </w:r>
      <w:r>
        <w:rPr>
          <w:sz w:val="20"/>
          <w:szCs w:val="20"/>
        </w:rPr>
        <w:t xml:space="preserve"> — hardcoding puts secrets in git permanently and means the same code cannot run in development and production.</w:t>
      </w:r>
    </w:p>
    <w:p>
      <w:pPr>
        <w:pStyle w:val="ListParagraph"/>
        <w:numPr>
          <w:ilvl w:val="0"/>
          <w:numId w:val="1"/>
        </w:numPr>
        <w:spacing w:after="60"/>
      </w:pPr>
      <w:r>
        <w:rPr>
          <w:b/>
          <w:bCs/>
          <w:sz w:val="20"/>
          <w:szCs w:val="20"/>
        </w:rPr>
        <w:t xml:space="preserve">Committed .env.example over a README section</w:t>
      </w:r>
      <w:r>
        <w:rPr>
          <w:sz w:val="20"/>
          <w:szCs w:val="20"/>
        </w:rPr>
        <w:t xml:space="preserve"> — a README section drifts. The template lives beside the real file, so adding a variable to one obviously requires adding it to the other, and diffs are visible in code review.</w:t>
      </w:r>
    </w:p>
    <w:p>
      <w:pPr>
        <w:pStyle w:val="ListParagraph"/>
        <w:numPr>
          <w:ilvl w:val="0"/>
          <w:numId w:val="1"/>
        </w:numPr>
        <w:spacing w:after="60"/>
      </w:pPr>
      <w:r>
        <w:rPr>
          <w:b/>
          <w:bCs/>
          <w:sz w:val="20"/>
          <w:szCs w:val="20"/>
        </w:rPr>
        <w:t xml:space="preserve">One .env over per-service env files</w:t>
      </w:r>
      <w:r>
        <w:rPr>
          <w:sz w:val="20"/>
          <w:szCs w:val="20"/>
        </w:rPr>
        <w:t xml:space="preserve"> — values are shared — the MinIO credentials are needed by MinIO itself, the API and the detector. Three files means updating a password in three places and eventually missing one.</w:t>
      </w:r>
    </w:p>
    <w:p>
      <w:pPr>
        <w:pStyle w:val="ListParagraph"/>
        <w:numPr>
          <w:ilvl w:val="0"/>
          <w:numId w:val="1"/>
        </w:numPr>
        <w:spacing w:after="60"/>
      </w:pPr>
      <w:r>
        <w:rPr>
          <w:b/>
          <w:bCs/>
          <w:sz w:val="20"/>
          <w:szCs w:val="20"/>
        </w:rPr>
        <w:t xml:space="preserve">Environment variables over a config.json</w:t>
      </w:r>
      <w:r>
        <w:rPr>
          <w:sz w:val="20"/>
          <w:szCs w:val="20"/>
        </w:rPr>
        <w:t xml:space="preserve"> — JSON must be gitignored the same way, so there is no secrecy gain; Compose reads .env natively; and env vars are the universal interface every deployment platform speaks. Zod recovers the type safety.</w:t>
      </w:r>
    </w:p>
    <w:p>
      <w:pPr>
        <w:pStyle w:val="ListParagraph"/>
        <w:numPr>
          <w:ilvl w:val="0"/>
          <w:numId w:val="1"/>
        </w:numPr>
        <w:spacing w:after="60"/>
      </w:pPr>
      <w:r>
        <w:rPr>
          <w:b/>
          <w:bCs/>
          <w:sz w:val="20"/>
          <w:szCs w:val="20"/>
        </w:rPr>
        <w:t xml:space="preserve">Plain .env over Docker secrets or HashiCorp Vault</w:t>
      </w:r>
      <w:r>
        <w:rPr>
          <w:sz w:val="20"/>
          <w:szCs w:val="20"/>
        </w:rPr>
        <w:t xml:space="preserve"> — both are correct for production and both are wrong here — Docker secrets require Swarm mode and Vault is an entire service to run and learn. A .env file on a controlled single host is appropriate for an academic deployment. Worth naming in the report’s limitations section.</w:t>
      </w:r>
    </w:p>
    <w:p>
      <w:pPr>
        <w:pStyle w:val="ListParagraph"/>
        <w:numPr>
          <w:ilvl w:val="0"/>
          <w:numId w:val="1"/>
        </w:numPr>
        <w:spacing w:after="60"/>
      </w:pPr>
      <w:r>
        <w:rPr>
          <w:b/>
          <w:bCs/>
          <w:sz w:val="20"/>
          <w:szCs w:val="20"/>
        </w:rPr>
        <w:t xml:space="preserve">Dummy values over empty values</w:t>
      </w:r>
      <w:r>
        <w:rPr>
          <w:sz w:val="20"/>
          <w:szCs w:val="20"/>
        </w:rPr>
        <w:t xml:space="preserve"> — “changeme_mongo_password” is greppable, so one search instantly lists everything not yet replaced.</w:t>
      </w:r>
    </w:p>
    <w:p>
      <w:pPr>
        <w:pStyle w:val="Heading3"/>
        <w:spacing w:after="80" w:before="200"/>
      </w:pPr>
      <w:r>
        <w:rPr>
          <w:b/>
          <w:bCs/>
          <w:color w:val="8A6D1F"/>
          <w:sz w:val="21"/>
          <w:szCs w:val="21"/>
        </w:rPr>
        <w:t xml:space="preserve">Two things that will bite</w:t>
      </w:r>
    </w:p>
    <w:p>
      <w:pPr>
        <w:pStyle w:val="ListParagraph"/>
        <w:numPr>
          <w:ilvl w:val="0"/>
          <w:numId w:val="1"/>
        </w:numPr>
        <w:spacing w:after="60"/>
      </w:pPr>
      <w:r>
        <w:rPr>
          <w:sz w:val="20"/>
          <w:szCs w:val="20"/>
        </w:rPr>
        <w:t xml:space="preserve">Never localhost inside Docker. Use the compose service names — mongo, redis, minio, detector. Compose runs an internal DNS server that resolves each service name to its container IP. Inside a container, localhost means that container, where nothing is listening. Getting this wrong produces ECONNREFUSED 127.0.0.1:27017, which reads like the database is down.</w:t>
      </w:r>
    </w:p>
    <w:p>
      <w:pPr>
        <w:pStyle w:val="ListParagraph"/>
        <w:numPr>
          <w:ilvl w:val="0"/>
          <w:numId w:val="1"/>
        </w:numPr>
        <w:spacing w:after="60"/>
      </w:pPr>
      <w:r>
        <w:rPr>
          <w:sz w:val="20"/>
          <w:szCs w:val="20"/>
        </w:rPr>
        <w:t xml:space="preserve">?authSource=admin tells MongoDB which database holds the user account. The root user is created in admin but we connect to codeguard. Without it, Mongo looks in the wrong place and the auth failure says nothing about the real cause.</w:t>
      </w:r>
    </w:p>
    <w:p>
      <w:pPr>
        <w:pStyle w:val="ListParagraph"/>
        <w:numPr>
          <w:ilvl w:val="0"/>
          <w:numId w:val="1"/>
        </w:numPr>
        <w:spacing w:after="60"/>
      </w:pPr>
      <w:r>
        <w:rPr>
          <w:sz w:val="20"/>
          <w:szCs w:val="20"/>
        </w:rPr>
        <w:t xml:space="preserve">A secret’s value never leaves the file it lives in — not into a chat, a screenshot or a commit message. Share the variable name, never the value.</w:t>
      </w:r>
    </w:p>
    <w:p>
      <w:r>
        <w:br w:type="page"/>
      </w:r>
    </w:p>
    <w:p>
      <w:pPr>
        <w:pStyle w:val="Heading1"/>
        <w:pBdr>
          <w:bottom w:val="single" w:color="8A6D1F" w:sz="8" w:space="4"/>
        </w:pBdr>
        <w:spacing w:after="160" w:before="420"/>
      </w:pPr>
      <w:r>
        <w:rPr>
          <w:b/>
          <w:bCs/>
          <w:color w:val="1F3352"/>
          <w:sz w:val="28"/>
          <w:szCs w:val="28"/>
        </w:rPr>
        <w:t xml:space="preserve">Next entry</w:t>
      </w:r>
    </w:p>
    <w:p>
      <w:pPr>
        <w:spacing w:after="160"/>
        <w:ind w:left="360"/>
      </w:pPr>
      <w:r>
        <w:rPr>
          <w:i/>
          <w:iCs/>
          <w:color w:val="9A9A9A"/>
          <w:sz w:val="19"/>
          <w:szCs w:val="19"/>
        </w:rPr>
        <w:t xml:space="preserve">[ File 006 — infra/docker-compose.yml ]</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CodeGuard AI — File Book   ·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CodeGuard AI — File Book</dc:title>
  <dc:creator>Mohd Saqlain Hussain</dc:creator>
  <dc:description>One entry per file: why it exists, why it is separate, what it does, later changes, where it sits, libraries, functions, terms, and design rationale.</dc:description>
  <cp:lastModifiedBy>Un-named</cp:lastModifiedBy>
  <cp:revision>1</cp:revision>
  <dcterms:created xsi:type="dcterms:W3CDTF">2026-09-04T16:49:29.153Z</dcterms:created>
  <dcterms:modified xsi:type="dcterms:W3CDTF">2026-09-04T16:49:29.153Z</dcterms:modified>
</cp:coreProperties>
</file>

<file path=docProps/custom.xml><?xml version="1.0" encoding="utf-8"?>
<Properties xmlns="http://schemas.openxmlformats.org/officeDocument/2006/custom-properties" xmlns:vt="http://schemas.openxmlformats.org/officeDocument/2006/docPropsVTypes"/>
</file>