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b/>
          <w:bCs/>
          <w:color w:val="1F3352"/>
          <w:sz w:val="40"/>
          <w:szCs w:val="40"/>
        </w:rPr>
        <w:t xml:space="preserve">CodeGuard AI — Reference Notebook</w:t>
      </w:r>
    </w:p>
    <w:p>
      <w:pPr>
        <w:pBdr>
          <w:bottom w:val="single" w:color="C9CCD1" w:sz="6" w:space="6"/>
        </w:pBdr>
        <w:spacing w:after="300"/>
      </w:pPr>
      <w:r>
        <w:rPr>
          <w:i/>
          <w:iCs/>
          <w:color w:val="5A5A5A"/>
          <w:sz w:val="20"/>
          <w:szCs w:val="20"/>
        </w:rPr>
        <w:t xml:space="preserve">Daily log · Glossary · Library pages · File index · Decisions · Viva cram sheet</w:t>
      </w:r>
    </w:p>
    <w:p>
      <w:pPr>
        <w:spacing w:after="120"/>
      </w:pPr>
      <w:r>
        <w:rPr>
          <w:b w:val="false"/>
          <w:bCs w:val="false"/>
          <w:i w:val="false"/>
          <w:iCs w:val="false"/>
          <w:color w:val="5A5A5A"/>
          <w:sz w:val="19"/>
          <w:szCs w:val="19"/>
        </w:rPr>
        <w:t xml:space="preserve">Mohd Saqlain Hussain (BCS2023126) · B.Tech CSE, Invertis University, Bareilly · AY 2026–27</w:t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Companion document: CodeGuard AI — File Book (one entry per file).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How to keep this document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§1 Daily Log</w:t>
      </w:r>
      <w:r>
        <w:rPr>
          <w:sz w:val="20"/>
          <w:szCs w:val="20"/>
        </w:rPr>
        <w:t xml:space="preserve"> — append a new dated entry at the bottom of that section every working day. Never edit an old entry.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§2 Glossary</w:t>
      </w:r>
      <w:r>
        <w:rPr>
          <w:sz w:val="20"/>
          <w:szCs w:val="20"/>
        </w:rPr>
        <w:t xml:space="preserve"> — add each new term once, alphabetically. If a term is already here, do not repeat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§3 Library Pages</w:t>
      </w:r>
      <w:r>
        <w:rPr>
          <w:sz w:val="20"/>
          <w:szCs w:val="20"/>
        </w:rPr>
        <w:t xml:space="preserve"> — one entry per library, added the first time it is used.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§4 File Index</w:t>
      </w:r>
      <w:r>
        <w:rPr>
          <w:sz w:val="20"/>
          <w:szCs w:val="20"/>
        </w:rPr>
        <w:t xml:space="preserve"> — one pointer line per file. Depth lives in the File Book.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§5 Decisions &amp; Battles</w:t>
      </w:r>
      <w:r>
        <w:rPr>
          <w:sz w:val="20"/>
          <w:szCs w:val="20"/>
        </w:rPr>
        <w:t xml:space="preserve"> — add when a real “why X not Y” choice is made or a problem takes real effort.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§6 Viva Cram Sheet</w:t>
      </w:r>
      <w:r>
        <w:rPr>
          <w:sz w:val="20"/>
          <w:szCs w:val="20"/>
        </w:rPr>
        <w:t xml:space="preserve"> — one line per defensible decision. Read only this section the night before the viva.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Use Word’s Navigation Pane (View → Navigation Pane) to jump between sections.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§1 · Daily Log</w:t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Chronological. Casual. What was built, what broke, what clicked, what to ask sir.</w:t>
      </w:r>
    </w:p>
    <w:p>
      <w:pPr>
        <w:pStyle w:val="Heading2"/>
        <w:spacing w:after="120" w:before="300"/>
      </w:pPr>
      <w:r>
        <w:rPr>
          <w:b/>
          <w:bCs/>
          <w:color w:val="1F3352"/>
          <w:sz w:val="24"/>
          <w:szCs w:val="24"/>
        </w:rPr>
        <w:t xml:space="preserve">04 Sep 2026 · Day 1 · Files 001–005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First real day. Didn’t write a single line of actual program code — five files, all docs and config. Felt strange, but the argument makes sense: if I can’t explain the project on one page, I don’t understand it well enough to build it.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README took longest. The bit I’ll get grilled on is “evidence system, not verdict machine” — metal detector at an airport, it beeps so a human knows where to look, it doesn’t arrest anyone. Nearly left the baseline-poisoning limitation out. Put it in. A flaw sir finds that I hid is much worse than one I owned.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Messed up the README paste — the code fences inside a code fence broke and I lost three sections without noticing. Commit said 175 insertions when it should have been ~180. Lesson: check the insertion count after every commit.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.gitignore was more interesting than expected. The /* vs / thing for negation patterns is genuinely subtle — you can’t un-ignore a file if its whole parent folder was ignored, because git never even looks inside.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.env.example: the biggest thing I learned today is that inside Docker you connect using the service name (mongo, redis), never localhost. localhost inside a container means that container. Would have lost hours to this.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Also nearly forgot the File 003 header entirely — I wrote the log entry about it but not the thing itself.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Decided to keep both notebooks as digital documents rather than handwritten. The volume was unrealistic to sustain for eleven months, and an abandoned notebook is worth less than a maintained file.</w:t>
      </w:r>
    </w:p>
    <w:p>
      <w:pPr>
        <w:spacing w:after="120"/>
      </w:pPr>
      <w:r>
        <w:rPr>
          <w:b/>
          <w:bCs/>
          <w:i w:val="false"/>
          <w:iCs w:val="false"/>
          <w:sz w:val="20"/>
          <w:szCs w:val="20"/>
        </w:rPr>
        <w:t xml:space="preserve">Ask sir: does the department want a specific README/cover format? And is a digital notebook acceptable, or does he expect a handwritten record?</w:t>
      </w:r>
    </w:p>
    <w:p>
      <w:pPr>
        <w:spacing w:after="160"/>
        <w:ind w:left="360"/>
      </w:pPr>
      <w:r>
        <w:rPr>
          <w:i/>
          <w:iCs/>
          <w:color w:val="9A9A9A"/>
          <w:sz w:val="19"/>
          <w:szCs w:val="19"/>
        </w:rPr>
        <w:t xml:space="preserve">[ Next entry — 05 Sep 2026 · Day 2 · File 006 ]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§2 · Glossary</w:t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One definition per term, added the first time it appears. Alphabetical.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5726"/>
        <w:gridCol w:w="1200"/>
      </w:tblGrid>
      <w:tr>
        <w:trPr>
          <w:tblHeader/>
        </w:trPr>
        <w:tc>
          <w:tcPr>
            <w:tcW w:type="dxa" w:w="21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Term</w:t>
            </w:r>
          </w:p>
        </w:tc>
        <w:tc>
          <w:tcPr>
            <w:tcW w:type="dxa" w:w="5726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Definition</w:t>
            </w:r>
          </w:p>
        </w:tc>
        <w:tc>
          <w:tcPr>
            <w:tcW w:type="dxa" w:w="12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First seen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Access token vs refresh token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Short-lived credential sent with every request, vs a long-lived credential used only to obtain new access tokens.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Anchored pattern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gitignore pattern containing a slash, matched relative to the repo root rather than at any depth.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Append-only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Records are only added at the end, never edited. What makes a log trustworthy as history.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003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Bucket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top-level container in object storage — roughly a folder.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Bytecode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 intermediate compiled form. Python compiles .py to .pyc and caches it in __pycache__.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Character class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[cod] in *.py[cod]. Brackets meaning “match exactly one of these characters.”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Character encoding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mapping from bytes on disk to characters on screen. UTF-8 is the modern universal standard.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Commit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saved snapshot of the repository with a message. The atomic unit of git history.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Connection string / URI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string encoding everything needed to connect: scheme, credentials, host, port, database, options.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Conventional Commits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commit message format: type(scope): description. Types are feat, fix, docs, chore, test, refactor.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003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CORS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Browser rule blocking JavaScript on one origin from reading another origin’s responses unless permitted.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CRLF / LF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Line endings. CRLF (\r\n) on Windows, LF (\n) on Linux and Mac. Containers run Linux, so always LF.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DNS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Translates names to addresses. Docker runs its own so service names resolve to container IPs.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EditorConfig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cross-editor standard for basic formatting rules so a team gets consistent files regardless of editor.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Engineering log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dated running record of decisions and problems during development.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003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Environment variable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named value the OS hands a running process. Configures software without changing code.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Fenced code block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Text wrapped in triple backticks so it renders as code. A language tag gives syntax colouring.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Glob pattern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Simple wildcard matching. *.txt matches every .txt file. Older and simpler than regex.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Hidden file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 Unix-like systems, any file whose name begins with a dot. Hidden from default listings only.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INI format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config file format using [section] headers and key = value lines.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JWT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signed token carrying user claims. The server verifies the signature instead of looking up a session.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Makefile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build-automation file listing targets and the commands to produce them. Recipes must be tab-indented.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Markdown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Plain-text formatting language. Readable raw and rendered, so git diffs stay human-readable.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MiB vs MB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 MiB = 1,048,576 bytes (2^20). 1 MB = 1,000,000 bytes. Programs use MiB; marketing uses MB.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Model checkpoint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saved snapshot of a model’s learned weights. Often hundreds of megabytes.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Negation pattern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gitignore line starting with !, re-including something excluded earlier. Fails if the parent dir was excluded.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Object storage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Storage holding whole files as opaque objects addressed by key, rather than a hierarchical filesystem.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Origin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Scheme + host + port together. :5173 and :4000 are different origins despite the same host.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PEP 8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Python’s official style guide. PEP = Python Enhancement Proposal.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README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file at the repo root explaining the project. The name is an instruction: read me, first.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Repository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folder whose full change history git tracks — every version of every file, not just current ones.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Signing secret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key used to sign and verify a token. Anyone holding it can forge valid tokens.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Staging area (index)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The middle step between working files and a commit. git add puts changes here.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Tracked vs untracked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Tracked = git records its history. Untracked = git sees it but is not recording it.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Twelve-Factor App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Service-design principles. Factor III: store config in the environment, because config varies while code does not.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UTF-8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variable-width encoding covering every Unicode character. ASCII takes one byte; others take two to four.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Virtual environment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 isolated Python installation with its own package set, so projects cannot conflict.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Working directory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Your actual files on disk, as opposed to what is staged or committed.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.gitkeep</w:t>
            </w:r>
          </w:p>
        </w:tc>
        <w:tc>
          <w:tcPr>
            <w:tcW w:type="dxa" w:w="57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 convention, not a git feature. An empty placeholder keeping an otherwise-empty directory in the repo.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</w:tr>
    </w:tbl>
    <w:p>
      <w:pPr>
        <w:spacing w:after="160"/>
        <w:ind w:left="360"/>
      </w:pPr>
      <w:r>
        <w:rPr>
          <w:i/>
          <w:iCs/>
          <w:color w:val="9A9A9A"/>
          <w:sz w:val="19"/>
          <w:szCs w:val="19"/>
        </w:rPr>
        <w:t xml:space="preserve">[ Add new terms above, keeping alphabetical order. ]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§3 · Library Pages</w:t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One entry per library: what it is, why we chose it, how we use it, which files use it, what we rejected.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Nothing yet. Files 001–005 are documentation and config read directly by a tool — no libraries involved.</w:t>
      </w:r>
    </w:p>
    <w:p>
      <w:pPr>
        <w:spacing w:after="120"/>
      </w:pPr>
      <w:r>
        <w:rPr>
          <w:b/>
          <w:bCs/>
          <w:i w:val="false"/>
          <w:iCs w:val="false"/>
          <w:sz w:val="20"/>
          <w:szCs w:val="20"/>
        </w:rPr>
        <w:t xml:space="preserve">First entry expected at File 007 (Express).</w:t>
      </w:r>
    </w:p>
    <w:p>
      <w:pPr>
        <w:pStyle w:val="Heading3"/>
        <w:spacing w:after="80" w:before="200"/>
      </w:pPr>
      <w:r>
        <w:rPr>
          <w:b/>
          <w:bCs/>
          <w:color w:val="8A6D1F"/>
          <w:sz w:val="21"/>
          <w:szCs w:val="21"/>
        </w:rPr>
        <w:t xml:space="preserve">Template for each entry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What it is — </w:t>
      </w:r>
      <w:r>
        <w:rPr>
          <w:sz w:val="20"/>
          <w:szCs w:val="20"/>
        </w:rPr>
        <w:t xml:space="preserve">one-line definition.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Why we use it — </w:t>
      </w:r>
      <w:r>
        <w:rPr>
          <w:sz w:val="20"/>
          <w:szCs w:val="20"/>
        </w:rPr>
        <w:t xml:space="preserve">the problem it solves in this project.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How we use it — </w:t>
      </w:r>
      <w:r>
        <w:rPr>
          <w:sz w:val="20"/>
          <w:szCs w:val="20"/>
        </w:rPr>
        <w:t xml:space="preserve">the specific calls or features we rely on.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Used in — </w:t>
      </w:r>
      <w:r>
        <w:rPr>
          <w:sz w:val="20"/>
          <w:szCs w:val="20"/>
        </w:rPr>
        <w:t xml:space="preserve">list of files.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Why not the alternative — </w:t>
      </w:r>
      <w:r>
        <w:rPr>
          <w:sz w:val="20"/>
          <w:szCs w:val="20"/>
        </w:rPr>
        <w:t xml:space="preserve">what we rejected and the reason.</w:t>
      </w:r>
    </w:p>
    <w:p>
      <w:pPr>
        <w:spacing w:after="160"/>
        <w:ind w:left="360"/>
      </w:pPr>
      <w:r>
        <w:rPr>
          <w:i/>
          <w:iCs/>
          <w:color w:val="9A9A9A"/>
          <w:sz w:val="19"/>
          <w:szCs w:val="19"/>
        </w:rPr>
        <w:t xml:space="preserve">[ First library entry goes here. ]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§4 · File Index</w:t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One pointer line per file. Full detail lives in the File Book document.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100"/>
        <w:gridCol w:w="5126"/>
        <w:gridCol w:w="1200"/>
      </w:tblGrid>
      <w:tr>
        <w:trPr>
          <w:tblHeader/>
        </w:trPr>
        <w:tc>
          <w:tcPr>
            <w:tcW w:type="dxa" w:w="6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#</w:t>
            </w:r>
          </w:p>
        </w:tc>
        <w:tc>
          <w:tcPr>
            <w:tcW w:type="dxa" w:w="21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Path</w:t>
            </w:r>
          </w:p>
        </w:tc>
        <w:tc>
          <w:tcPr>
            <w:tcW w:type="dxa" w:w="5126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What it does</w:t>
            </w:r>
          </w:p>
        </w:tc>
        <w:tc>
          <w:tcPr>
            <w:tcW w:type="dxa" w:w="12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File Book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001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README.md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Project front page: problem, three layers, baseline integrity, architecture, setup.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p.1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002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.gitignore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Ignore rules for secrets, dependencies, build output, ML checkpoints, OS junk.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p.2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003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docs/PROJECT_NOTES.md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Engineering log header: conventions and entry template.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p.3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004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.editorconfig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Cross-editor formatting: UTF-8, LF, 2-space default, 4 for Python.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p.4</w:t>
            </w:r>
          </w:p>
        </w:tc>
      </w:tr>
      <w:tr>
        <w:trPr>
          <w:tblHeader w:val="false"/>
        </w:trPr>
        <w:tc>
          <w:tcPr>
            <w:tcW w:type="dxa" w:w="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005</w:t>
            </w:r>
          </w:p>
        </w:tc>
        <w:tc>
          <w:tcPr>
            <w:tcW w:type="dxa" w:w="21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infra/.env.example</w:t>
            </w:r>
          </w:p>
        </w:tc>
        <w:tc>
          <w:tcPr>
            <w:tcW w:type="dxa" w:w="51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Committed template for every environment variable the system needs.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p.5</w:t>
            </w:r>
          </w:p>
        </w:tc>
      </w:tr>
    </w:tbl>
    <w:p>
      <w:pPr>
        <w:spacing w:after="160"/>
        <w:ind w:left="360"/>
      </w:pPr>
      <w:r>
        <w:rPr>
          <w:i/>
          <w:iCs/>
          <w:color w:val="9A9A9A"/>
          <w:sz w:val="19"/>
          <w:szCs w:val="19"/>
        </w:rPr>
        <w:t xml:space="preserve">[ Add one line per new file. ]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§5 · Decisions &amp; Battles</w:t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Why X and not Y, and problems that took real effort to solve.</w:t>
      </w:r>
    </w:p>
    <w:p>
      <w:pPr>
        <w:pStyle w:val="Heading2"/>
        <w:spacing w:after="120" w:before="300"/>
      </w:pPr>
      <w:r>
        <w:rPr>
          <w:b/>
          <w:bCs/>
          <w:color w:val="1F3352"/>
          <w:sz w:val="24"/>
          <w:szCs w:val="24"/>
        </w:rPr>
        <w:t xml:space="preserve">Day 1 · 04 Sep 2026</w:t>
      </w:r>
    </w:p>
    <w:p>
      <w:pPr>
        <w:pStyle w:val="Heading3"/>
        <w:spacing w:after="80" w:before="200"/>
      </w:pPr>
      <w:r>
        <w:rPr>
          <w:b/>
          <w:bCs/>
          <w:color w:val="8A6D1F"/>
          <w:sz w:val="21"/>
          <w:szCs w:val="21"/>
        </w:rPr>
        <w:t xml:space="preserve">Decision · Publish the baseline-poisoning limitation in the README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0"/>
          <w:szCs w:val="20"/>
        </w:rPr>
        <w:t xml:space="preserve">An examiner who finds a flaw I did not mention concludes I do not understand my own system. One who reads that I found it, named it, built five mitigations and stated the residual gap concludes the opposite. Naming the weakness is what makes the mitigation credible.</w:t>
      </w:r>
    </w:p>
    <w:p>
      <w:pPr>
        <w:pStyle w:val="Heading3"/>
        <w:spacing w:after="80" w:before="200"/>
      </w:pPr>
      <w:r>
        <w:rPr>
          <w:b/>
          <w:bCs/>
          <w:color w:val="8A6D1F"/>
          <w:sz w:val="21"/>
          <w:szCs w:val="21"/>
        </w:rPr>
        <w:t xml:space="preserve">Battle · Negation patterns in .gitignore silently fail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Wanted — </w:t>
      </w:r>
      <w:r>
        <w:rPr>
          <w:sz w:val="20"/>
          <w:szCs w:val="20"/>
        </w:rPr>
        <w:t xml:space="preserve">harness/generated/ present in the repo but its contents ignored, with a .gitkeep inside to keep the folder alive (git does not track empty directories at all).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Tried — </w:t>
      </w:r>
      <w:r>
        <w:rPr>
          <w:sz w:val="20"/>
          <w:szCs w:val="20"/>
        </w:rPr>
        <w:t xml:space="preserve">harness/generated/ plus !harness/generated/.gitkeep. The negation did nothing.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Cause — </w:t>
      </w:r>
      <w:r>
        <w:rPr>
          <w:sz w:val="20"/>
          <w:szCs w:val="20"/>
        </w:rPr>
        <w:t xml:space="preserve">if a whole directory is excluded, git never descends into it, so it never sees the file to re-include.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Fix — </w:t>
      </w:r>
      <w:r>
        <w:rPr>
          <w:sz w:val="20"/>
          <w:szCs w:val="20"/>
        </w:rPr>
        <w:t xml:space="preserve">harness/generated/* — the /* excludes the contents rather than the directory, so git still walks in. Same fix applied to .vscode/*.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Lesson — </w:t>
      </w:r>
      <w:r>
        <w:rPr>
          <w:sz w:val="20"/>
          <w:szCs w:val="20"/>
        </w:rPr>
        <w:t xml:space="preserve">when a rule appears to “do nothing,” ask whether the tool ever reached the thing being configured.</w:t>
      </w:r>
    </w:p>
    <w:p>
      <w:pPr>
        <w:pStyle w:val="Heading3"/>
        <w:spacing w:after="80" w:before="200"/>
      </w:pPr>
      <w:r>
        <w:rPr>
          <w:b/>
          <w:bCs/>
          <w:color w:val="8A6D1F"/>
          <w:sz w:val="21"/>
          <w:szCs w:val="21"/>
        </w:rPr>
        <w:t xml:space="preserve">Battle · Lost three README sections to nested code fences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Symptom — </w:t>
      </w:r>
      <w:r>
        <w:rPr>
          <w:sz w:val="20"/>
          <w:szCs w:val="20"/>
        </w:rPr>
        <w:t xml:space="preserve">the RPS formula landed in the wrong section, “Repository layout” was empty, and the architecture diagram lost its fence.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Cause — </w:t>
      </w:r>
      <w:r>
        <w:rPr>
          <w:sz w:val="20"/>
          <w:szCs w:val="20"/>
        </w:rPr>
        <w:t xml:space="preserve">a triple-backtick block inside a triple-backtick block — the parser reads the inner one as closing the outer.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Fix — </w:t>
      </w:r>
      <w:r>
        <w:rPr>
          <w:sz w:val="20"/>
          <w:szCs w:val="20"/>
        </w:rPr>
        <w:t xml:space="preserve">replaced the whole file rather than patching three spots.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Lesson — </w:t>
      </w:r>
      <w:r>
        <w:rPr>
          <w:sz w:val="20"/>
          <w:szCs w:val="20"/>
        </w:rPr>
        <w:t xml:space="preserve">check the insertion count in the commit output against what was expected. A mismatch means something got lost.</w:t>
      </w:r>
    </w:p>
    <w:p>
      <w:pPr>
        <w:pStyle w:val="Heading3"/>
        <w:spacing w:after="80" w:before="200"/>
      </w:pPr>
      <w:r>
        <w:rPr>
          <w:b/>
          <w:bCs/>
          <w:color w:val="8A6D1F"/>
          <w:sz w:val="21"/>
          <w:szCs w:val="21"/>
        </w:rPr>
        <w:t xml:space="preserve">Battle · Pasted live JWT secrets into a chat window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Cause — </w:t>
      </w:r>
      <w:r>
        <w:rPr>
          <w:sz w:val="20"/>
          <w:szCs w:val="20"/>
        </w:rPr>
        <w:t xml:space="preserve">generated both secrets and shared the output to confirm the command worked.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Fix — </w:t>
      </w:r>
      <w:r>
        <w:rPr>
          <w:sz w:val="20"/>
          <w:szCs w:val="20"/>
        </w:rPr>
        <w:t xml:space="preserve">regenerated both. Risk was nil (dev-only, no users, no data), but the habit is the point.</w:t>
      </w:r>
    </w:p>
    <w:p>
      <w:pPr>
        <w:spacing w:after="120"/>
      </w:pPr>
      <w:r>
        <w:rPr>
          <w:b/>
          <w:bCs/>
          <w:color w:val="1F3352"/>
          <w:sz w:val="20"/>
          <w:szCs w:val="20"/>
        </w:rPr>
        <w:t xml:space="preserve">Rule — </w:t>
      </w:r>
      <w:r>
        <w:rPr>
          <w:sz w:val="20"/>
          <w:szCs w:val="20"/>
        </w:rPr>
        <w:t xml:space="preserve">a secret’s value never leaves the file it lives in. Share the variable name, never the value.</w:t>
      </w:r>
    </w:p>
    <w:p>
      <w:pPr>
        <w:pStyle w:val="Heading3"/>
        <w:spacing w:after="80" w:before="200"/>
      </w:pPr>
      <w:r>
        <w:rPr>
          <w:b/>
          <w:bCs/>
          <w:color w:val="8A6D1F"/>
          <w:sz w:val="21"/>
          <w:szCs w:val="21"/>
        </w:rPr>
        <w:t xml:space="preserve">Smaller decisions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ASCII architecture diagram over an image</w:t>
      </w:r>
      <w:r>
        <w:rPr>
          <w:sz w:val="20"/>
          <w:szCs w:val="20"/>
        </w:rPr>
        <w:t xml:space="preserve"> — renders in GitHub, terminal and git diff; reviewable in a pull request; never breaks on a path change.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Hand-written .gitignore over gitignore.io</w:t>
      </w:r>
      <w:r>
        <w:rPr>
          <w:sz w:val="20"/>
          <w:szCs w:val="20"/>
        </w:rPr>
        <w:t xml:space="preserve"> — 75 lines I can defend beats 400 correct lines I cannot.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Ignore ML checkpoints over Git LFS</w:t>
      </w:r>
      <w:r>
        <w:rPr>
          <w:sz w:val="20"/>
          <w:szCs w:val="20"/>
        </w:rPr>
        <w:t xml:space="preserve"> — reproducible from train.py with a fixed seed, so no versioning needed; LFS adds setup and bandwidth quotas.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Markdown log in the repo over Notion</w:t>
      </w:r>
      <w:r>
        <w:rPr>
          <w:sz w:val="20"/>
          <w:szCs w:val="20"/>
        </w:rPr>
        <w:t xml:space="preserve"> — lives beside the code, version-controlled so timestamps are themselves evidence of steady work, still exists in 2027.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Two different JWT secrets over one</w:t>
      </w:r>
      <w:r>
        <w:rPr>
          <w:sz w:val="20"/>
          <w:szCs w:val="20"/>
        </w:rPr>
        <w:t xml:space="preserve"> — a leaked 15-minute access token could otherwise be replayed as a 7-day refresh token.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0"/>
          <w:szCs w:val="20"/>
        </w:rPr>
        <w:t xml:space="preserve">TypeScript for the API tier over plain JavaScript</w:t>
      </w:r>
      <w:r>
        <w:rPr>
          <w:sz w:val="20"/>
          <w:szCs w:val="20"/>
        </w:rPr>
        <w:t xml:space="preserve"> — the only thing that makes packages/shared-types pay off; Zod already gives the types for free via z.infer.</w:t>
      </w:r>
    </w:p>
    <w:p>
      <w:pPr>
        <w:spacing w:after="160"/>
        <w:ind w:left="360"/>
      </w:pPr>
      <w:r>
        <w:rPr>
          <w:i/>
          <w:iCs/>
          <w:color w:val="9A9A9A"/>
          <w:sz w:val="19"/>
          <w:szCs w:val="19"/>
        </w:rPr>
        <w:t xml:space="preserve">[ Next decisions and battles go here. ]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§6 · Viva Cram Sheet</w:t>
      </w:r>
    </w:p>
    <w:p>
      <w:pPr>
        <w:spacing w:after="120"/>
      </w:pPr>
      <w:r>
        <w:rPr>
          <w:b w:val="false"/>
          <w:bCs w:val="false"/>
          <w:i/>
          <w:iCs/>
          <w:color w:val="5A5A5A"/>
          <w:sz w:val="19"/>
          <w:szCs w:val="19"/>
        </w:rPr>
        <w:t xml:space="preserve">One line per defensible decision. Read only this section the night before the viva.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Question</w:t>
            </w:r>
          </w:p>
        </w:tc>
        <w:tc>
          <w:tcPr>
            <w:tcW w:type="dxa" w:w="5826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One-line answer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Why is this not a verdict machine?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RPS only ranks the faculty review queue; a human decides. Metal detector, not an arrest.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Why a weighted sum and not a learned model?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 labelled cheated/honest data exists to train one, and a black box is not defensible in a disciplinary hearing.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Why is the detector a separate service?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tree-sitter, APTED and PyTorch are Python-only, and tree edit distance is CPU-bound work that would block Node’s single-threaded event loop.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Why a monorepo and not four repos?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One commit can change the schema, API, frontend and mobile atomically. Four repos means four pull requests and a broken system in between.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Why service names and not localhost in Docker?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Inside a container, localhost is that container. Compose’s internal DNS resolves mongo, redis, minio, detector.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Why is .env ignored but .env.example committed?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Secrets in git history are permanent. The template documents what is required without leaking anything.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Why TypeScript on the API tier?</w:t>
            </w:r>
          </w:p>
        </w:tc>
        <w:tc>
          <w:tcPr>
            <w:tcW w:type="dxa" w:w="5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It is what makes shared-types enforceable — the frontend fails to compile when a schema changes. Zod gives the types for free.</w:t>
            </w:r>
          </w:p>
        </w:tc>
      </w:tr>
    </w:tbl>
    <w:p>
      <w:pPr>
        <w:spacing w:after="160"/>
        <w:ind w:left="360"/>
      </w:pPr>
      <w:r>
        <w:rPr>
          <w:i/>
          <w:iCs/>
          <w:color w:val="9A9A9A"/>
          <w:sz w:val="19"/>
          <w:szCs w:val="19"/>
        </w:rPr>
        <w:t xml:space="preserve">[ Add one line per defensible decision. ]</w:t>
      </w:r>
    </w:p>
    <w:p>
      <w:pPr>
        <w:pStyle w:val="Heading1"/>
        <w:pBdr>
          <w:bottom w:val="single" w:color="8A6D1F" w:sz="8" w:space="4"/>
        </w:pBdr>
        <w:spacing w:after="160" w:before="420"/>
      </w:pPr>
      <w:r>
        <w:rPr>
          <w:b/>
          <w:bCs/>
          <w:color w:val="1F3352"/>
          <w:sz w:val="28"/>
          <w:szCs w:val="28"/>
        </w:rPr>
        <w:t xml:space="preserve">Progress 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700"/>
        <w:gridCol w:w="1200"/>
        <w:gridCol w:w="1900"/>
        <w:gridCol w:w="3826"/>
      </w:tblGrid>
      <w:tr>
        <w:trPr>
          <w:tblHeader/>
        </w:trPr>
        <w:tc>
          <w:tcPr>
            <w:tcW w:type="dxa" w:w="14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Date</w:t>
            </w:r>
          </w:p>
        </w:tc>
        <w:tc>
          <w:tcPr>
            <w:tcW w:type="dxa" w:w="7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Day</w:t>
            </w:r>
          </w:p>
        </w:tc>
        <w:tc>
          <w:tcPr>
            <w:tcW w:type="dxa" w:w="12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Files</w:t>
            </w:r>
          </w:p>
        </w:tc>
        <w:tc>
          <w:tcPr>
            <w:tcW w:type="dxa" w:w="1900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Phase</w:t>
            </w:r>
          </w:p>
        </w:tc>
        <w:tc>
          <w:tcPr>
            <w:tcW w:type="dxa" w:w="3826"/>
            <w:shd w:fill="EDEF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1F3352"/>
                <w:sz w:val="19"/>
                <w:szCs w:val="19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04 Sep 2026</w:t>
            </w:r>
          </w:p>
        </w:tc>
        <w:tc>
          <w:tcPr>
            <w:tcW w:type="dxa" w:w="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001–005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0 · Scaffolding</w:t>
            </w:r>
          </w:p>
        </w:tc>
        <w:tc>
          <w:tcPr>
            <w:tcW w:type="dxa" w:w="382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5 of 14 in Phase 0. Ahead of the 8–10 day budget. 0 libraries so far.</w:t>
            </w:r>
          </w:p>
        </w:tc>
      </w:tr>
    </w:tbl>
    <w:p>
      <w:pPr>
        <w:spacing w:after="160"/>
        <w:ind w:left="360"/>
      </w:pPr>
      <w:r>
        <w:rPr>
          <w:i/>
          <w:iCs/>
          <w:color w:val="9A9A9A"/>
          <w:sz w:val="19"/>
          <w:szCs w:val="19"/>
        </w:rPr>
        <w:t xml:space="preserve">[ Add one row per working day. ]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CodeGuard AI — Reference Notebook   ·  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CodeGuard AI — Reference Notebook</dc:title>
  <dc:creator>Mohd Saqlain Hussain</dc:creator>
  <dc:description>Daily log, glossary, library pages, file index, decisions and viva cram sheet.</dc:description>
  <cp:lastModifiedBy>Un-named</cp:lastModifiedBy>
  <cp:revision>1</cp:revision>
  <dcterms:created xsi:type="dcterms:W3CDTF">2026-09-04T16:48:14.865Z</dcterms:created>
  <dcterms:modified xsi:type="dcterms:W3CDTF">2026-09-04T16:48:14.877Z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