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Logistics Services Agreement</w:t>
      </w:r>
    </w:p>
    <w:p>
      <w:r>
        <w:rPr>
          <w:b/>
        </w:rPr>
        <w:t xml:space="preserve">1. Parties. </w:t>
      </w:r>
      <w:r>
        <w:t>This Logistics Services Agreement is made between Wadi Freight Co., a company registered in Riyadh (the "Supplier"), and Ramla Retail Co., a company registered in Jeddah (the "Customer").</w:t>
      </w:r>
    </w:p>
    <w:p>
      <w:r>
        <w:rPr>
          <w:b/>
        </w:rPr>
        <w:t xml:space="preserve">2. Services. </w:t>
      </w:r>
      <w:r>
        <w:t>The Supplier will collect goods from the Customer's warehouses in Riyadh and Jeddah and deliver them to the Customer's stores across the Kingdom, as set out in Schedule 1.</w:t>
      </w:r>
    </w:p>
    <w:p>
      <w:r>
        <w:rPr>
          <w:b/>
        </w:rPr>
        <w:t xml:space="preserve">3. Term. </w:t>
      </w:r>
      <w:r>
        <w:t>This Agreement starts on 1 January 2027 and runs for 12 months. It renews for one further period of 12 months unless either party gives notice of non-renewal at least 30 days before the end of the term.</w:t>
      </w:r>
    </w:p>
    <w:p>
      <w:r>
        <w:rPr>
          <w:b/>
        </w:rPr>
        <w:t xml:space="preserve">3.1 Fees. </w:t>
      </w:r>
      <w:r>
        <w:t>The Customer pays the fees in Schedule 2. The Supplier invoices monthly in arrears.</w:t>
      </w:r>
    </w:p>
    <w:p>
      <w:r>
        <w:rPr>
          <w:b/>
        </w:rPr>
        <w:t xml:space="preserve">3.2 Payment. </w:t>
      </w:r>
      <w:r>
        <w:t>The Customer shall pay each invoice within 15 days of receipt.</w:t>
      </w:r>
    </w:p>
    <w:p>
      <w:r>
        <w:rPr>
          <w:b/>
        </w:rPr>
        <w:t xml:space="preserve">4. Termination for convenience. </w:t>
      </w:r>
      <w:r>
        <w:t>The Customer may terminate this Agreement at any time on 30 days' written notice, without penalty.</w:t>
      </w:r>
    </w:p>
    <w:p>
      <w:r>
        <w:rPr>
          <w:b/>
        </w:rPr>
        <w:t xml:space="preserve">5. Intellectual property. </w:t>
      </w:r>
      <w:r>
        <w:t>The Customer owns all deliverables, reports and data produced for it under this Agreement. The Supplier keeps its pre-existing tools and grants the Customer a licence to use them as needed to receive the services.</w:t>
      </w:r>
    </w:p>
    <w:p>
      <w:r>
        <w:rPr>
          <w:b/>
        </w:rPr>
        <w:t xml:space="preserve">6. Confidentiality. </w:t>
      </w:r>
      <w:r>
        <w:t>Each party keeps the other's confidential information secret during this Agreement and for five years after it ends; trade secrets stay protected for as long as they remain secret.</w:t>
      </w:r>
    </w:p>
    <w:p>
      <w:r>
        <w:rPr>
          <w:b/>
        </w:rPr>
        <w:t xml:space="preserve">7. Data protection. </w:t>
      </w:r>
      <w:r>
        <w:t>The Supplier processes personal data only on the Customer's instructions and in line with the Personal Data Protection Law. All data is stored in the Kingdom, and the Supplier notifies the Customer of any breach within 72 hours.</w:t>
      </w:r>
    </w:p>
    <w:p>
      <w:r>
        <w:rPr>
          <w:b/>
        </w:rPr>
        <w:t xml:space="preserve">7.1 Liability. </w:t>
      </w:r>
      <w:r>
        <w:t>Each party's total liability under this Agreement is limited to the fees paid or payable in the 12 months before the claim.</w:t>
      </w:r>
    </w:p>
    <w:p>
      <w:r>
        <w:rPr>
          <w:b/>
        </w:rPr>
        <w:t xml:space="preserve">7.2 Indemnity. </w:t>
      </w:r>
      <w:r>
        <w:t>Each party indemnifies the other against third-party claims arising from its breach of intellectual property rights, its data breach or its negligence.</w:t>
      </w:r>
    </w:p>
    <w:p>
      <w:r>
        <w:rPr>
          <w:b/>
        </w:rPr>
        <w:t xml:space="preserve">7.4 Late payment. </w:t>
      </w:r>
      <w:r>
        <w:t>Late payments bear interest at 2% per month on the amount overdue.</w:t>
      </w:r>
    </w:p>
    <w:p>
      <w:r>
        <w:rPr>
          <w:b/>
        </w:rPr>
        <w:t xml:space="preserve">8. Assignment. </w:t>
      </w:r>
      <w:r>
        <w:t>Neither party may assign this Agreement without the other party's prior written consent.</w:t>
      </w:r>
    </w:p>
    <w:p>
      <w:r>
        <w:rPr>
          <w:b/>
        </w:rPr>
        <w:t xml:space="preserve">9. Notices. </w:t>
      </w:r>
      <w:r>
        <w:t>Notices to the Supplier go to legal@wadifreight.example. Payments go to IBAN SA44 2000 0001 2345 6789 1234.</w:t>
      </w:r>
    </w:p>
    <w:p>
      <w:r>
        <w:rPr>
          <w:b/>
        </w:rPr>
        <w:t xml:space="preserve">11.2 Governing law. </w:t>
      </w:r>
      <w:r>
        <w:t>This Agreement is governed by the laws of the Kingdom of Saudi Arabia. The courts of Riyadh have jurisdiction over any dispute.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