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 1 Project Dataset Summary</w:t>
      </w:r>
    </w:p>
    <w:p>
      <w:pPr>
        <w:pStyle w:val="Normal"/>
        <w:rPr>
          <w:b/>
          <w:bCs/>
          <w:i w:val="false"/>
          <w:i w:val="false"/>
          <w:iCs w:val="false"/>
          <w:sz w:val="16"/>
          <w:szCs w:val="16"/>
          <w:u w:val="none"/>
        </w:rPr>
      </w:pPr>
      <w:r>
        <w:rPr>
          <w:b/>
          <w:bCs/>
          <w:i w:val="false"/>
          <w:iCs w:val="false"/>
          <w:sz w:val="16"/>
          <w:szCs w:val="16"/>
          <w:u w:val="none"/>
        </w:rPr>
        <w:t xml:space="preserve">Team: Mohammed Ali Shakeel Ashtikar – 202621080 </w:t>
      </w:r>
      <w:r>
        <w:rPr>
          <w:b/>
          <w:bCs/>
          <w:i w:val="false"/>
          <w:iCs w:val="false"/>
          <w:sz w:val="16"/>
          <w:szCs w:val="16"/>
          <w:u w:val="none"/>
        </w:rPr>
        <w:t xml:space="preserve">| </w:t>
      </w:r>
      <w:r>
        <w:rPr>
          <w:b/>
          <w:bCs/>
          <w:i w:val="false"/>
          <w:iCs w:val="false"/>
          <w:sz w:val="16"/>
          <w:szCs w:val="16"/>
          <w:u w:val="none"/>
        </w:rPr>
        <w:t>Syed Mohammed Ali Javed - 202604540  |  Mohammad Huzeifa - 202621060</w:t>
      </w:r>
    </w:p>
    <w:p>
      <w:pPr>
        <w:pStyle w:val="Normal"/>
        <w:rPr>
          <w:sz w:val="16"/>
          <w:szCs w:val="16"/>
        </w:rPr>
      </w:pPr>
      <w:r>
        <w:rPr>
          <w:b w:val="false"/>
          <w:sz w:val="16"/>
          <w:szCs w:val="16"/>
        </w:rPr>
        <w:t>We selected ArTS for Saudi traffic-sign classification and BDD100K for road-object detection. Phase 1 compares HOG + SVM with a lightweight CNN classifier and a YOLO detector, respectively, using all classes in both datasets.</w:t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1.  ArTS Arabic Traffic Sign Dataset</w:t>
      </w:r>
    </w:p>
    <w:p>
      <w:pPr>
        <w:pStyle w:val="Normal"/>
        <w:rPr>
          <w:sz w:val="16"/>
          <w:szCs w:val="16"/>
        </w:rPr>
      </w:pPr>
      <w:r>
        <w:rPr>
          <w:b w:val="false"/>
          <w:sz w:val="16"/>
          <w:szCs w:val="16"/>
        </w:rPr>
        <w:t>Version 1 contains 24 classes and 2,718 original RGB images from Khobar, Dammam and Dhahran, Saudi Arabia: 2,200 training and 518 test images. The release also provides CSV class labels and 57,078 augmented images [1].</w:t>
      </w:r>
    </w:p>
    <w:tbl>
      <w:tblPr>
        <w:tblW w:w="10511" w:type="dxa"/>
        <w:jc w:val="center"/>
        <w:tblInd w:w="0" w:type="dxa"/>
        <w:tblLayout w:type="fixed"/>
        <w:tblCellMar>
          <w:top w:w="35" w:type="dxa"/>
          <w:left w:w="75" w:type="dxa"/>
          <w:bottom w:w="35" w:type="dxa"/>
          <w:right w:w="75" w:type="dxa"/>
        </w:tblCellMar>
        <w:tblLook w:val="04a0" w:noHBand="0" w:noVBand="1" w:firstColumn="1" w:lastRow="0" w:lastColumn="0" w:firstRow="1"/>
      </w:tblPr>
      <w:tblGrid>
        <w:gridCol w:w="2706"/>
        <w:gridCol w:w="793"/>
        <w:gridCol w:w="2706"/>
        <w:gridCol w:w="793"/>
        <w:gridCol w:w="2706"/>
        <w:gridCol w:w="806"/>
      </w:tblGrid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Class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Images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Class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Images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Class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Images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Road hump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124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U turn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102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Speed limit 30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132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Straight or left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144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Roundabout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102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Speed limit 40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114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Straight or right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144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Parking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126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Speed limit 50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110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Left turn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118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No horn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132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Speed limit 60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109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Right turn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117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No overtaking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112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Speed limit 80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101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Narrows from left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99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Stop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117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Speed limit 100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80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Narrows from right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103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Slow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107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Pedestrian crossing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107</w:t>
            </w:r>
          </w:p>
        </w:tc>
      </w:tr>
      <w:tr>
        <w:trPr/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No U turn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104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Pass either side</w:t>
            </w:r>
          </w:p>
        </w:tc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104</w:t>
            </w:r>
          </w:p>
        </w:tc>
        <w:tc>
          <w:tcPr>
            <w:tcW w:w="2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No parking</w:t>
            </w:r>
          </w:p>
        </w:tc>
        <w:tc>
          <w:tcPr>
            <w:tcW w:w="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110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b w:val="false"/>
          <w:sz w:val="16"/>
          <w:szCs w:val="16"/>
        </w:rPr>
        <w:t>Original train/test CSV counts total 2,718; the paper’s Table 1 instead reports 2,728 [2].</w:t>
      </w:r>
    </w:p>
    <w:p>
      <w:pPr>
        <w:pStyle w:val="Normal"/>
        <w:spacing w:before="0" w:after="0"/>
        <w:jc w:val="center"/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943600" cy="8915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16"/>
          <w:szCs w:val="16"/>
        </w:rPr>
      </w:pPr>
      <w:r>
        <w:rPr>
          <w:b w:val="false"/>
          <w:sz w:val="16"/>
          <w:szCs w:val="16"/>
        </w:rPr>
        <w:t>Representative ArTS samples from the released augmented test set [1].</w:t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2.  BDD100K Road Object Detection</w:t>
      </w:r>
    </w:p>
    <w:p>
      <w:pPr>
        <w:pStyle w:val="Normal"/>
        <w:rPr>
          <w:sz w:val="16"/>
          <w:szCs w:val="16"/>
        </w:rPr>
      </w:pPr>
      <w:r>
        <w:rPr>
          <w:b w:val="false"/>
          <w:sz w:val="16"/>
          <w:szCs w:val="16"/>
        </w:rPr>
        <w:t>BDD100K provides 100,000 reference driving images at 1280 × 720 resolution, drawn from 40-second videos collected in the USA. The split is 70,000 train, 10,000 validation and 20,000 test images. Its 10 detection classes have bounding boxes and occlusion/truncation attributes; scenes vary by weather, location and time of day [3].</w:t>
      </w:r>
    </w:p>
    <w:tbl>
      <w:tblPr>
        <w:tblW w:w="10512" w:type="dxa"/>
        <w:jc w:val="center"/>
        <w:tblInd w:w="0" w:type="dxa"/>
        <w:tblLayout w:type="fixed"/>
        <w:tblCellMar>
          <w:top w:w="35" w:type="dxa"/>
          <w:left w:w="75" w:type="dxa"/>
          <w:bottom w:w="35" w:type="dxa"/>
          <w:right w:w="75" w:type="dxa"/>
        </w:tblCellMar>
        <w:tblLook w:val="04a0" w:noHBand="0" w:noVBand="1" w:firstColumn="1" w:lastRow="0" w:lastColumn="0" w:firstRow="1"/>
      </w:tblPr>
      <w:tblGrid>
        <w:gridCol w:w="3312"/>
        <w:gridCol w:w="1944"/>
        <w:gridCol w:w="3312"/>
        <w:gridCol w:w="1943"/>
      </w:tblGrid>
      <w:tr>
        <w:trPr/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Class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Instances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Class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7EDF3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Instances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Pedestrian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129,262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Train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179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Rider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6,461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Motorcycle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4,296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Car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1,021,857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Bicycle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10,229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Truck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42,963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Traffic light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9FB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265,906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Bus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16,505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Traffic sign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  <w:t>343,777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b w:val="false"/>
          <w:sz w:val="16"/>
          <w:szCs w:val="16"/>
        </w:rPr>
        <w:t>Published category totals from [3], Fig. 3; these are object instances, not image or training-only counts. One image may contain several objects.</w:t>
      </w:r>
    </w:p>
    <w:p>
      <w:pPr>
        <w:pStyle w:val="Normal"/>
        <w:spacing w:before="0" w:after="0"/>
        <w:jc w:val="center"/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4846320" cy="136398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16"/>
          <w:szCs w:val="16"/>
        </w:rPr>
      </w:pPr>
      <w:r>
        <w:rPr>
          <w:b w:val="false"/>
          <w:sz w:val="16"/>
          <w:szCs w:val="16"/>
        </w:rPr>
        <w:t>Representative city and residential scenes with object boxes, reproduced from [3], Fig. 1.</w:t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Official sources and release papers</w:t>
      </w:r>
    </w:p>
    <w:p>
      <w:pPr>
        <w:pStyle w:val="Normal"/>
        <w:rPr/>
      </w:pPr>
      <w:r>
        <w:rPr>
          <w:b w:val="false"/>
          <w:sz w:val="16"/>
          <w:szCs w:val="16"/>
        </w:rPr>
        <w:t xml:space="preserve">[1] Latif et al. ArTS, Mendeley Data, v1 (2020). </w:t>
      </w:r>
      <w:hyperlink r:id="rId4">
        <w:r>
          <w:rPr>
            <w:rStyle w:val="ListLabel10"/>
            <w:color w:val="000000"/>
            <w:sz w:val="16"/>
            <w:szCs w:val="16"/>
            <w:u w:val="single"/>
          </w:rPr>
          <w:t>data.mendeley.com/datasets/4tznkn45mx/1</w:t>
        </w:r>
      </w:hyperlink>
    </w:p>
    <w:p>
      <w:pPr>
        <w:pStyle w:val="Normal"/>
        <w:rPr/>
      </w:pPr>
      <w:r>
        <w:rPr>
          <w:b w:val="false"/>
          <w:sz w:val="16"/>
          <w:szCs w:val="16"/>
        </w:rPr>
        <w:t xml:space="preserve">[2] Alghmgham et al. “Autonomous Traffic Sign (ATSR) Detection and Recognition using Deep CNN.” Procedia Computer Science 163 (2019), 266–274. </w:t>
      </w:r>
      <w:hyperlink r:id="rId5">
        <w:r>
          <w:rPr>
            <w:rStyle w:val="ListLabel10"/>
            <w:color w:val="000000"/>
            <w:sz w:val="16"/>
            <w:szCs w:val="16"/>
            <w:u w:val="single"/>
          </w:rPr>
          <w:t>doi:10.1016/j.procs.2019.12.108</w:t>
        </w:r>
      </w:hyperlink>
    </w:p>
    <w:p>
      <w:pPr>
        <w:pStyle w:val="Normal"/>
        <w:widowControl/>
        <w:bidi w:val="0"/>
        <w:spacing w:lineRule="auto" w:line="240" w:before="0" w:after="60"/>
        <w:jc w:val="left"/>
        <w:rPr/>
      </w:pPr>
      <w:r>
        <w:rPr>
          <w:b w:val="false"/>
          <w:sz w:val="16"/>
          <w:szCs w:val="16"/>
        </w:rPr>
        <w:t xml:space="preserve">[3] Yu et al. “BDD100K: A Diverse Driving Dataset for Heterogeneous Multitask Learning.” CVPR 2020. </w:t>
      </w:r>
      <w:hyperlink r:id="rId6">
        <w:r>
          <w:rPr>
            <w:rStyle w:val="ListLabel10"/>
            <w:color w:val="000000"/>
            <w:sz w:val="16"/>
            <w:szCs w:val="16"/>
            <w:u w:val="single"/>
          </w:rPr>
          <w:t>arxiv.org/abs/1805.04687</w:t>
        </w:r>
      </w:hyperlink>
      <w:r>
        <w:rPr>
          <w:sz w:val="16"/>
          <w:szCs w:val="16"/>
        </w:rPr>
        <w:t xml:space="preserve">  |  Official source: </w:t>
      </w:r>
      <w:hyperlink r:id="rId7">
        <w:r>
          <w:rPr>
            <w:rStyle w:val="ListLabel10"/>
            <w:color w:val="000000"/>
            <w:sz w:val="16"/>
            <w:szCs w:val="16"/>
            <w:u w:val="single"/>
          </w:rPr>
          <w:t>bdd-data.berkeley.edu</w:t>
        </w:r>
      </w:hyperlink>
      <w:r>
        <w:rPr>
          <w:sz w:val="16"/>
          <w:szCs w:val="16"/>
        </w:rPr>
        <w:t xml:space="preserve"> / </w:t>
      </w:r>
      <w:hyperlink r:id="rId8">
        <w:r>
          <w:rPr>
            <w:rStyle w:val="ListLabel10"/>
            <w:color w:val="000000"/>
            <w:sz w:val="16"/>
            <w:szCs w:val="16"/>
            <w:u w:val="single"/>
          </w:rPr>
          <w:t>github.com/bdd100k/bdd100k</w:t>
        </w:r>
      </w:hyperlink>
    </w:p>
    <w:sectPr>
      <w:type w:val="nextPage"/>
      <w:pgSz w:w="12240" w:h="15840"/>
      <w:pgMar w:left="864" w:right="864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60"/>
      <w:jc w:val="left"/>
    </w:pPr>
    <w:rPr>
      <w:rFonts w:ascii="Calibri" w:hAnsi="Calibri" w:eastAsia="ＭＳ 明朝" w:cs="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ata.mendeley.com/datasets/4tznkn45mx/1" TargetMode="External"/><Relationship Id="rId5" Type="http://schemas.openxmlformats.org/officeDocument/2006/relationships/hyperlink" Target="https://doi.org/10.1016/j.procs.2019.12.108" TargetMode="External"/><Relationship Id="rId6" Type="http://schemas.openxmlformats.org/officeDocument/2006/relationships/hyperlink" Target="https://arxiv.org/abs/1805.04687" TargetMode="External"/><Relationship Id="rId7" Type="http://schemas.openxmlformats.org/officeDocument/2006/relationships/hyperlink" Target="https://bdd-data.berkeley.edu/" TargetMode="External"/><Relationship Id="rId8" Type="http://schemas.openxmlformats.org/officeDocument/2006/relationships/hyperlink" Target="https://github.com/bdd100k/bdd100k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1</Pages>
  <Words>383</Words>
  <Characters>2133</Characters>
  <CharactersWithSpaces>2429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Mohammed Ali Shakeel Ashtikar; Syed Mohammed Ali Javed; Mohammad Huzeifa</dc:creator>
  <dc:description>generated by python-docx</dc:description>
  <dc:language>en-US</dc:language>
  <cp:lastModifiedBy/>
  <dcterms:modified xsi:type="dcterms:W3CDTF">2026-10-05T19:25:11Z</dcterms:modified>
  <cp:revision>3</cp:revision>
  <dc:subject/>
  <dc:title>Phase 1 Project Dataset Summary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