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Global Data Privacy &amp; Customer Data Handling Policy</w:t>
      </w:r>
    </w:p>
    <w:p>
      <w:r>
        <w:rPr>
          <w:b/>
        </w:rPr>
        <w:t>Document Code: DOC-POL-02 | Type: POLICY | Current Version: 2.0</w:t>
        <w:br/>
      </w:r>
      <w:r>
        <w:t>Organization: ApexNova Global Technologies | Department: DATA_AI | Precedence: Level 1</w:t>
      </w:r>
    </w:p>
    <w:p>
      <w:pPr>
        <w:pStyle w:val="Heading2"/>
      </w:pPr>
      <w:r>
        <w:t>Version 2.0 (Zero PII in non-production, 30-day erasure SLA, strict geographic data residency, and 365-day retention cap.)</w:t>
      </w:r>
    </w:p>
    <w:p>
      <w:pPr>
        <w:pStyle w:val="Heading3"/>
      </w:pPr>
      <w:r>
        <w:rPr>
          <w:color w:val="1E40AF"/>
        </w:rPr>
        <w:t>Section 2.1: Privacy Framework &amp; GDPR/CCPA Compliance</w:t>
      </w:r>
    </w:p>
    <w:p>
      <w:r>
        <w:t>ApexNova complies with GDPR, CCPA, and global privacy standards. Personal Identifiable Information (PII) must only be collected for explicitly consented business purposes.</w:t>
      </w:r>
    </w:p>
    <w:p>
      <w:pPr>
        <w:pStyle w:val="Heading3"/>
      </w:pPr>
      <w:r>
        <w:rPr>
          <w:color w:val="1E40AF"/>
        </w:rPr>
        <w:t>Section 2.2: Strict Ban on Real PII in Non-Production</w:t>
      </w:r>
    </w:p>
    <w:p>
      <w:r>
        <w:t>Under no circumstances may live production customer data or unmasked PII be imported or stored in development, staging, sandbox, or test environments. Fully synthetic or tokenized data must be utilized.</w:t>
      </w:r>
    </w:p>
    <w:p>
      <w:pPr>
        <w:pStyle w:val="Heading3"/>
      </w:pPr>
      <w:r>
        <w:rPr>
          <w:color w:val="1E40AF"/>
        </w:rPr>
        <w:t>Section 2.3: Right to Be Forgotten &amp; Erasure SLA</w:t>
      </w:r>
    </w:p>
    <w:p>
      <w:r>
        <w:t>Customer requests for data erasure must be processed and fully wiped from all operational clusters and cold backups within 30 calendar days.</w:t>
      </w:r>
    </w:p>
    <w:p>
      <w:pPr>
        <w:pStyle w:val="Heading3"/>
      </w:pPr>
      <w:r>
        <w:rPr>
          <w:color w:val="1E40AF"/>
        </w:rPr>
        <w:t>Section 2.4: Data Residency and Regional Isolation</w:t>
      </w:r>
    </w:p>
    <w:p>
      <w:r>
        <w:t>Customer telemetry and database records must remain within the sovereign region (EU, US, APAC) designated in the customer agreement. Cross-border transfers require legal DPA approval.</w:t>
      </w:r>
    </w:p>
    <w:p>
      <w:pPr>
        <w:pStyle w:val="Heading3"/>
      </w:pPr>
      <w:r>
        <w:rPr>
          <w:color w:val="1E40AF"/>
        </w:rPr>
        <w:t>Section 2.5: Data Retention &amp; Archival Schedules</w:t>
      </w:r>
    </w:p>
    <w:p>
      <w:r>
        <w:t>Transactional logs must be archived after 90 days and permanently expunged after 365 days unless legal holds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