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Acceptable Use of Corporate IT Assets &amp; AI Tools Policy</w:t>
      </w:r>
    </w:p>
    <w:p>
      <w:r>
        <w:rPr>
          <w:b/>
        </w:rPr>
        <w:t>Document Code: DOC-POL-04 | Type: POLICY | Current Version: 2.0</w:t>
        <w:br/>
      </w:r>
      <w:r>
        <w:t>Organization: ApexNova Global Technologies | Department: INFRA_IT | Precedence: Level 1</w:t>
      </w:r>
    </w:p>
    <w:p>
      <w:pPr>
        <w:pStyle w:val="Heading2"/>
      </w:pPr>
      <w:r>
        <w:t>Version 2.0 (Strict ban on customer data in public consumer LLMs, mandatory verification of AI output, and open-source license governance.)</w:t>
      </w:r>
    </w:p>
    <w:p>
      <w:pPr>
        <w:pStyle w:val="Heading3"/>
      </w:pPr>
      <w:r>
        <w:rPr>
          <w:color w:val="1E40AF"/>
        </w:rPr>
        <w:t>Section 4.1: Corporate Equipment Usage Standards</w:t>
      </w:r>
    </w:p>
    <w:p>
      <w:r>
        <w:t>ApexNova computing hardware, networks, and cloud instances are reserved for authorized business functions. Installation of unauthorized software is blocked by endpoint protection.</w:t>
      </w:r>
    </w:p>
    <w:p>
      <w:pPr>
        <w:pStyle w:val="Heading3"/>
      </w:pPr>
      <w:r>
        <w:rPr>
          <w:color w:val="1E40AF"/>
        </w:rPr>
        <w:t>Section 4.2: Enterprise AI &amp; LLM Governance</w:t>
      </w:r>
    </w:p>
    <w:p>
      <w:r>
        <w:t>Employees may only use company-approved GenAI platforms with enterprise data privacy agreements. Inputting proprietary code, customer telemetry, financial statements, or PII into unauthorized public consumer AI platforms (e.g. public consumer ChatGPT/Claude) is strictly prohibited and treated as a data leak violation.</w:t>
      </w:r>
    </w:p>
    <w:p>
      <w:pPr>
        <w:pStyle w:val="Heading3"/>
      </w:pPr>
      <w:r>
        <w:rPr>
          <w:color w:val="1E40AF"/>
        </w:rPr>
        <w:t>Section 4.3: Verification of AI-Generated Content</w:t>
      </w:r>
    </w:p>
    <w:p>
      <w:r>
        <w:t>Engineers and content creators utilizing approved AI tools must independently inspect, review, and validate all generated code and text for security flaws, factual hallucinations, and copyright compliance before production merge.</w:t>
      </w:r>
    </w:p>
    <w:p>
      <w:pPr>
        <w:pStyle w:val="Heading3"/>
      </w:pPr>
      <w:r>
        <w:rPr>
          <w:color w:val="1E40AF"/>
        </w:rPr>
        <w:t>Section 4.4: Open Source License Hygiene</w:t>
      </w:r>
    </w:p>
    <w:p>
      <w:r>
        <w:t>Developers must not incorporate viral GPL-v3 or AGPL copyleft libraries into proprietary distributed products without Architecture Review Board signoff.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