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Code of Business Conduct, Ethics &amp; Anti-Bribery Policy</w:t>
      </w:r>
    </w:p>
    <w:p>
      <w:r>
        <w:rPr>
          <w:b/>
        </w:rPr>
        <w:t>Document Code: DOC-POL-05 | Type: POLICY | Current Version: 1.0</w:t>
        <w:br/>
      </w:r>
      <w:r>
        <w:t>Organization: ApexNova Global Technologies | Department: HR_PEOPLE | Precedence: Level 1</w:t>
      </w:r>
    </w:p>
    <w:p>
      <w:pPr>
        <w:pStyle w:val="Heading2"/>
      </w:pPr>
      <w:r>
        <w:t>Version 1.0 (Comprehensive ethics, anti-harassment, anti-bribery ($50 gift cap), and conflict of interest standards.)</w:t>
      </w:r>
    </w:p>
    <w:p>
      <w:pPr>
        <w:pStyle w:val="Heading3"/>
      </w:pPr>
      <w:r>
        <w:rPr>
          <w:color w:val="1E40AF"/>
        </w:rPr>
        <w:t>Section 5.1: Workplace Respect &amp; Harassment Prevention</w:t>
      </w:r>
    </w:p>
    <w:p>
      <w:r>
        <w:t>ApexNova is committed to a harassment-free environment. Discrimination or harassment on the basis of race, religion, gender, sexual orientation, disability, or age is prohibited.</w:t>
      </w:r>
    </w:p>
    <w:p>
      <w:pPr>
        <w:pStyle w:val="Heading3"/>
      </w:pPr>
      <w:r>
        <w:rPr>
          <w:color w:val="1E40AF"/>
        </w:rPr>
        <w:t>Section 5.2: Anti-Bribery &amp; FCPA Compliance</w:t>
      </w:r>
    </w:p>
    <w:p>
      <w:r>
        <w:t>Employees must not offer, pay, solicit, or accept bribes, kickbacks, or facilitation payments. Gifts or hospitality to or from clients exceeding $50 USD in value must be formally declared in the Compliance Gift Registry.</w:t>
      </w:r>
    </w:p>
    <w:p>
      <w:pPr>
        <w:pStyle w:val="Heading3"/>
      </w:pPr>
      <w:r>
        <w:rPr>
          <w:color w:val="1E40AF"/>
        </w:rPr>
        <w:t>Section 5.3: Conflict of Interest Disclosures</w:t>
      </w:r>
    </w:p>
    <w:p>
      <w:r>
        <w:t>Employees must disclose outside commercial interests, advisory roles, or family relationships with active vendors using the annual Ethics Declaration portal within 14 days of employment.</w:t>
      </w:r>
    </w:p>
    <w:p>
      <w:pPr>
        <w:pStyle w:val="Heading3"/>
      </w:pPr>
      <w:r>
        <w:rPr>
          <w:color w:val="1E40AF"/>
        </w:rPr>
        <w:t>Section 5.4: Fair Competition &amp; Antitrust Rules</w:t>
      </w:r>
    </w:p>
    <w:p>
      <w:r>
        <w:t>Personnel must never participate in price-fixing, market division, or unlawful competitor discussions.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