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Remote Work, Hybrid Operations &amp; Mobile Device Security Policy</w:t>
      </w:r>
    </w:p>
    <w:p>
      <w:r>
        <w:rPr>
          <w:b/>
        </w:rPr>
        <w:t>Document Code: DOC-POL-06 | Type: POLICY | Current Version: 2.0</w:t>
        <w:br/>
      </w:r>
      <w:r>
        <w:t>Organization: ApexNova Global Technologies | Department: INFRA_IT | Precedence: Level 1</w:t>
      </w:r>
    </w:p>
    <w:p>
      <w:pPr>
        <w:pStyle w:val="Heading2"/>
      </w:pPr>
      <w:r>
        <w:t>Version 2.0 (Enforced whole-disk encryption, mandatory ZTNA on public Wi-Fi, and Intune MDM for mobile email.)</w:t>
      </w:r>
    </w:p>
    <w:p>
      <w:pPr>
        <w:pStyle w:val="Heading3"/>
      </w:pPr>
      <w:r>
        <w:rPr>
          <w:color w:val="1E40AF"/>
        </w:rPr>
        <w:t>Section 6.1: Remote Work Eligibility &amp; Environment</w:t>
      </w:r>
    </w:p>
    <w:p>
      <w:r>
        <w:t>Eligible remote employees must maintain a private workspace with secure high-speed internet and ergonomic seating.</w:t>
      </w:r>
    </w:p>
    <w:p>
      <w:pPr>
        <w:pStyle w:val="Heading3"/>
      </w:pPr>
      <w:r>
        <w:rPr>
          <w:color w:val="1E40AF"/>
        </w:rPr>
        <w:t>Section 6.2: Endpoint Disk Encryption Standards</w:t>
      </w:r>
    </w:p>
    <w:p>
      <w:r>
        <w:t>All company-provided laptops must have BitLocker (Windows) or FileVault (macOS) full-disk encryption enabled and active prior to network authorization.</w:t>
      </w:r>
    </w:p>
    <w:p>
      <w:pPr>
        <w:pStyle w:val="Heading3"/>
      </w:pPr>
      <w:r>
        <w:rPr>
          <w:color w:val="1E40AF"/>
        </w:rPr>
        <w:t>Section 6.3: Public Network Connection Standards</w:t>
      </w:r>
    </w:p>
    <w:p>
      <w:r>
        <w:t>When connecting through public Wi-Fi (airports, cafes, hotels), employees must route all network traffic through the company Zero Trust Network Access (ZTNA) tunnel.</w:t>
      </w:r>
    </w:p>
    <w:p>
      <w:pPr>
        <w:pStyle w:val="Heading3"/>
      </w:pPr>
      <w:r>
        <w:rPr>
          <w:color w:val="1E40AF"/>
        </w:rPr>
        <w:t>Section 6.4: Mobile Device Management (MDM) Mandate</w:t>
      </w:r>
    </w:p>
    <w:p>
      <w:r>
        <w:t>Access to corporate email, Slack, or ticketing platforms on smartphones requires enrolling the device in Microsoft Intune MDM, permitting containerized corporate remote wipe upon separation or loss.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