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F172A"/>
        </w:rPr>
        <w:t>Incident Response, Triage &amp; Breach Notification SOP</w:t>
      </w:r>
    </w:p>
    <w:p>
      <w:r>
        <w:rPr>
          <w:b/>
        </w:rPr>
        <w:t>Document Code: DOC-SOP-01 | Type: SOP | Current Version: 2.0</w:t>
        <w:br/>
      </w:r>
      <w:r>
        <w:t>Organization: ApexNova Global Technologies | Department: CYBER_SEC | Precedence: Level 2</w:t>
      </w:r>
    </w:p>
    <w:p>
      <w:pPr>
        <w:pStyle w:val="Heading2"/>
      </w:pPr>
      <w:r>
        <w:t>Version 2.0 (Shortened Sev-1 breach reporting from 24h to 4h, strict forensic chain of custody, and 5-day RCA report SLA.)</w:t>
      </w:r>
    </w:p>
    <w:p>
      <w:pPr>
        <w:pStyle w:val="Heading3"/>
      </w:pPr>
      <w:r>
        <w:rPr>
          <w:color w:val="1E40AF"/>
        </w:rPr>
        <w:t>Section 1.1: Incident Severity Classification</w:t>
      </w:r>
    </w:p>
    <w:p>
      <w:r>
        <w:t>Incidents are classified from Severity 1 (Critical data breach or total platform outage) to Severity 4 (Minor cosmetic bug). Sev-1 requires immediate incident commander assignment.</w:t>
      </w:r>
    </w:p>
    <w:p>
      <w:pPr>
        <w:pStyle w:val="Heading3"/>
      </w:pPr>
      <w:r>
        <w:rPr>
          <w:color w:val="1E40AF"/>
        </w:rPr>
        <w:t>Section 1.2: 4-Hour Critical Breach Notification SLA</w:t>
      </w:r>
    </w:p>
    <w:p>
      <w:r>
        <w:t>Upon confirmation of a Severity 1 cybersecurity breach involving customer records, the Incident Commander must notify the CISO and Data Protection Officer within 4 hours.</w:t>
      </w:r>
    </w:p>
    <w:p>
      <w:pPr>
        <w:pStyle w:val="Heading3"/>
      </w:pPr>
      <w:r>
        <w:rPr>
          <w:color w:val="1E40AF"/>
        </w:rPr>
        <w:t>Section 1.3: Evidence Preservation &amp; Chain of Custody</w:t>
      </w:r>
    </w:p>
    <w:p>
      <w:r>
        <w:t>Memory dumps, system audit logs, and network capture packets must be cryptographically hashed and copied to isolated forensic storage with documented chain of custody.</w:t>
      </w:r>
    </w:p>
    <w:p>
      <w:pPr>
        <w:pStyle w:val="Heading3"/>
      </w:pPr>
      <w:r>
        <w:rPr>
          <w:color w:val="1E40AF"/>
        </w:rPr>
        <w:t>Section 1.4: Post-Incident Root Cause Analysis (RCA)</w:t>
      </w:r>
    </w:p>
    <w:p>
      <w:r>
        <w:t>A blameless Post-Mortem and formal RCA report must be published within 5 business days of incident resolution.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