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Data Analytics, BI Reporting &amp; Data Export SOP</w:t>
      </w:r>
    </w:p>
    <w:p>
      <w:r>
        <w:rPr>
          <w:b/>
        </w:rPr>
        <w:t>Document Code: DOC-SOP-05 | Type: SOP | Current Version: 2.0</w:t>
        <w:br/>
      </w:r>
      <w:r>
        <w:t>Organization: ApexNova Global Technologies | Department: DATA_AI | Precedence: Level 2</w:t>
      </w:r>
    </w:p>
    <w:p>
      <w:pPr>
        <w:pStyle w:val="Heading2"/>
      </w:pPr>
      <w:r>
        <w:t>Version 2.0 (Prohibited local unencrypted CSV exports, enforced partition filters, mandatory PII masking, and vendor sharing sign-off.)</w:t>
      </w:r>
    </w:p>
    <w:p>
      <w:pPr>
        <w:pStyle w:val="Heading3"/>
      </w:pPr>
      <w:r>
        <w:rPr>
          <w:color w:val="1E40AF"/>
        </w:rPr>
        <w:t>Section 5.1: BI Query Optimization &amp; Resource Caps</w:t>
      </w:r>
    </w:p>
    <w:p>
      <w:r>
        <w:t>All analytical queries against BigQuery and PostgreSQL warehouses must include partition filters. Ad-hoc queries scanning over 500GB of telemetry require Data Engineering approval.</w:t>
      </w:r>
    </w:p>
    <w:p>
      <w:pPr>
        <w:pStyle w:val="Heading3"/>
      </w:pPr>
      <w:r>
        <w:rPr>
          <w:color w:val="1E40AF"/>
        </w:rPr>
        <w:t>Section 5.2: Strict Ban on Local Unencrypted Data Dumps</w:t>
      </w:r>
    </w:p>
    <w:p>
      <w:r>
        <w:t>Downloading unencrypted raw customer datasets or CSV files to local desktop or laptop drives is strictly prohibited. Analysis must occur within secure cloud analytics notebooks.</w:t>
      </w:r>
    </w:p>
    <w:p>
      <w:pPr>
        <w:pStyle w:val="Heading3"/>
      </w:pPr>
      <w:r>
        <w:rPr>
          <w:color w:val="1E40AF"/>
        </w:rPr>
        <w:t>Section 5.3: Mandatory Data Masking in BI Dashboards</w:t>
      </w:r>
    </w:p>
    <w:p>
      <w:r>
        <w:t>Credit card numbers, bank routing codes, tax identifiers, and passwords must be irreversibly hashed or masked (e.g. ****-****-1234) before rendering on executive BI dashboards.</w:t>
      </w:r>
    </w:p>
    <w:p>
      <w:pPr>
        <w:pStyle w:val="Heading3"/>
      </w:pPr>
      <w:r>
        <w:rPr>
          <w:color w:val="1E40AF"/>
        </w:rPr>
        <w:t>Section 5.4: Third-Party Data Sharing Sign-off</w:t>
      </w:r>
    </w:p>
    <w:p>
      <w:r>
        <w:t>Sharing any analytical data extracts with third-party vendors requires formal sign-off from the Data Governance Board and Legal.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