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SKINSENSE AI</w:t>
      </w:r>
    </w:p>
    <w:p>
      <w:pPr>
        <w:spacing w:after="600" w:before="20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AI-Powered Dermatological Analysis &amp; Personalized Skincare Recommendation Platform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Major Project — Stage 1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System Architecture &amp; Technical Design Document</w:t>
      </w:r>
    </w:p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Prepared by: Mohammed Ateeb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B.Tech, Artificial Intelligence &amp; Data Science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K. K. Wagh Institute of Engineering Education &amp; Research, Nashik (SPPU)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Guide: Prof. Pranali Shinde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0. Introduction &amp; System Overview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SkinSense AI is a full-stack, AI-driven web application that lets a user photograph their skin, receives an automated classification of visible dermatological patterns, converts that classification into a plain-language, empathetic explanation using a fine-tuned LLM served through Groq, and finally maps the detected condition to a curated, pre-approved product catalogue. The system is explicitly designed as a wellness/skincare guidance tool and not a diagnostic medical device — this distinction shapes every architectural decision below, from the disclaimers embedded in the UI to the way confidence scores are surfaced instead of hard diagnoses.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architecture is organised into five modular phases so that each can be built, tested, and demoed independently for project evaluation: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1 — Computer Vision image-analysis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2 — LLM reasoning &amp; explanation layer (Groq)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3 — Product recommendation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4 — Full-stack web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5 — Security, privacy &amp; compliance layer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Phase 1 — Machine Learning Image Pipeline</w:t>
      </w:r>
    </w:p>
    <w:p>
      <w:pPr>
        <w:pStyle w:val="Heading2"/>
        <w:spacing w:after="150" w:before="300"/>
      </w:pPr>
      <w:r>
        <w:t xml:space="preserve">1.1 Model Architecture Choice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For a college-scale project with limited GPU budget and a need for fast inference on uploaded images, a lightweight CNN backbone is the right trade-off between accuracy and training cost.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/ When to use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EfficientNet-B0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~5.3M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Recommended default. Best accuracy-per-FLOP for fine-grained skin texture classification; pretrained ImageNet weights transfer well to dermatology with fine-tuning.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MobileNetV3-Small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~2.5M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if you need on-device / very low-latency inference (e.g. a mobile companion app later).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ViT-Tiny / DeiT-Tiny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~5.7M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if your dataset is larger (&gt;15k images) — transformers need more data to beat CNNs, but attention maps are great for the 'why' explainability angle.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Recommendation for Stage 1: fine-tune EfficientNet-B0 (via transfer learning) as the primary classifier, and mention ViT-Tiny as a 'future work' comparison — this gives you a strong baseline now and a credible extension for Stage 2.</w:t>
      </w:r>
    </w:p>
    <w:p>
      <w:pPr>
        <w:pStyle w:val="Heading2"/>
        <w:spacing w:after="150" w:before="300"/>
      </w:pPr>
      <w:r>
        <w:t xml:space="preserve">1.2 Data Preprocessing Pipeline</w:t>
      </w:r>
    </w:p>
    <w:p>
      <w:pPr>
        <w:pStyle w:val="Heading3"/>
        <w:spacing w:after="100" w:before="200"/>
      </w:pPr>
      <w:r>
        <w:t xml:space="preserve">Standard image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Resize to 224×224 (EfficientNet-B0 native input size); keep aspect ratio with center-crop or padding rather than naive stretch, which distorts lesion shape.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Normalize pixel values using ImageNet mean/std ([0.485, 0.456, 0.406] / [0.229, 0.224, 0.225]) if using transfer learning, so the pretrained backbone sees inputs in its expected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Convert to RGB explicitly (reject/convert CMYK or grayscale uploads) to avoid silent channel-order bugs.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Apply light augmentation only — random rotation (±15°), horizontal flip, slight brightness/contrast jitter. Avoid aggressive color jitter, since skin-tone and redness are diagnostic signals, not noise.</w:t>
      </w:r>
    </w:p>
    <w:p>
      <w:pPr>
        <w:pStyle w:val="Heading3"/>
        <w:spacing w:after="100" w:before="200"/>
      </w:pPr>
      <w:r>
        <w:t xml:space="preserve">Skin-tone fairness &amp; ethical handling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the most important non-obvious step, and a good talking point for your project viva/evaluation: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Stratify your training/validation split by Fitzpatrick skin type (I–VI) if your dataset has that metadata (e.g. Fitzpatrick17k, DDI). If it doesn't, manually bucket a sample and check class 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 per-skin-tone accuracy/F1 separately in your evaluation, not just an aggregate number — aggregate accuracy can hide the model performing much worse on darker skin tones, a well-documented failure mode in dermatology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tone-aware augmentation sparingly (simulated lighting conditions) rather than tone-shifting augmentation, which risks teaching the model to ignore tone as a legitimate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possible, use CLAHE (Contrast-Limited Adaptive Histogram Equalization) on the luminance channel only (convert to LAB, equalize L, convert back) to reduce lighting-condition bias without altering hue/chroma.</w:t>
      </w:r>
    </w:p>
    <w:p>
      <w:pP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⚠ For your report, explicitly state the demographic composition of your training data and its known limitations. Evaluators specifically look for this kind of responsible-AI framing in dermatology projects.</w:t>
      </w:r>
    </w:p>
    <w:p>
      <w:pPr>
        <w:pStyle w:val="Heading2"/>
        <w:spacing w:after="150" w:before="300"/>
      </w:pPr>
      <w:r>
        <w:t xml:space="preserve">1.3 Model Output Structure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CNN should NOT output a single label. Skin conditions co-occur and visually overlap, so use a multi-label sigmoid head (not softmax) with independent probabilities per condition class: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// Example model output (JSON) returned by the inference microservice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"image_id": "uuid-v4",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"model_version": "efficientnet_b0_v1.2",</w:t>
      </w:r>
      <w:r>
        <w:rPr>
          <w:rFonts w:ascii="Consolas" w:cs="Consolas" w:eastAsia="Consolas" w:hAnsi="Consolas"/>
          <w:sz w:val="18"/>
          <w:szCs w:val="18"/>
        </w:rPr>
        <w:br/>
        <w:t xml:space="preserve">  "predictions":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"condition": "hormonal_acne",   "confidence": 0.82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"condition": "fungal_acne",     "confidence": 0.11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"condition": "rosacea",         "confidence": 0.06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"condition": "eczema",          "confidence": 0.03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"condition": "post_inflammatory_hyperpigmentation", "confidence": 0.34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"primary_condition": "hormonal_acne",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"confidence_threshold_met":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"low_confidence_flag":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primary_condition = argmax of the predictions array, only if it clears a minimum confidence threshold (e.g. 0.55).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low_confidence_flag = true when no class clears the threshold — the backend routes this to a generic 'inconclusive, consult a dermatologist' response instead of forcing the LLM to guess.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 model_version alongside every prediction — critical for reproducibility when you retrain between Stage 1 and Stage 2.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Phase 2 — LLM Integration &amp; Fine-Tuning (Groq)</w:t>
      </w:r>
    </w:p>
    <w:p>
      <w:pPr>
        <w:pStyle w:val="Heading2"/>
        <w:spacing w:after="150" w:before="300"/>
      </w:pPr>
      <w:r>
        <w:t xml:space="preserve">2.1 Backend Service Design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dedicated backend service (a single FastAPI route, e.g. POST /api/analysis/explain) sits between the ML output and the Groq API. It never lets raw user text or the CV model's raw output reach Groq unfiltered — it always constructs a controlled system prompt server-side.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def build_system_prompt(prediction: dict, product_catalog_snippet: str) -&gt; str: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f"""</w:t>
      </w:r>
      <w:r>
        <w:rPr>
          <w:rFonts w:ascii="Consolas" w:cs="Consolas" w:eastAsia="Consolas" w:hAnsi="Consolas"/>
          <w:sz w:val="18"/>
          <w:szCs w:val="18"/>
        </w:rPr>
        <w:br/>
        <w:t xml:space="preserve">You are a skincare information assistant for SkinSense AI.</w:t>
      </w:r>
      <w:r>
        <w:rPr>
          <w:rFonts w:ascii="Consolas" w:cs="Consolas" w:eastAsia="Consolas" w:hAnsi="Consolas"/>
          <w:sz w:val="18"/>
          <w:szCs w:val="18"/>
        </w:rPr>
        <w:br/>
        <w:t xml:space="preserve">Rules you must always follow:</w:t>
      </w:r>
      <w:r>
        <w:rPr>
          <w:rFonts w:ascii="Consolas" w:cs="Consolas" w:eastAsia="Consolas" w:hAnsi="Consolas"/>
          <w:sz w:val="18"/>
          <w:szCs w:val="18"/>
        </w:rPr>
        <w:br/>
        <w:t xml:space="preserve">1. You are NOT a doctor. Never diagnose. Never claim certainty.</w:t>
      </w:r>
      <w:r>
        <w:rPr>
          <w:rFonts w:ascii="Consolas" w:cs="Consolas" w:eastAsia="Consolas" w:hAnsi="Consolas"/>
          <w:sz w:val="18"/>
          <w:szCs w:val="18"/>
        </w:rPr>
        <w:br/>
        <w:t xml:space="preserve">2. Only discuss the condition provided: {prediction['primary_condition']}</w:t>
      </w:r>
      <w:r>
        <w:rPr>
          <w:rFonts w:ascii="Consolas" w:cs="Consolas" w:eastAsia="Consolas" w:hAnsi="Consolas"/>
          <w:sz w:val="18"/>
          <w:szCs w:val="18"/>
        </w:rPr>
        <w:br/>
        <w:t xml:space="preserve">   (confidence: {prediction['confidence']:.0%}).</w:t>
      </w:r>
      <w:r>
        <w:rPr>
          <w:rFonts w:ascii="Consolas" w:cs="Consolas" w:eastAsia="Consolas" w:hAnsi="Consolas"/>
          <w:sz w:val="18"/>
          <w:szCs w:val="18"/>
        </w:rPr>
        <w:br/>
        <w:t xml:space="preserve">3. Only recommend products from this approved list — never invent</w:t>
      </w:r>
      <w:r>
        <w:rPr>
          <w:rFonts w:ascii="Consolas" w:cs="Consolas" w:eastAsia="Consolas" w:hAnsi="Consolas"/>
          <w:sz w:val="18"/>
          <w:szCs w:val="18"/>
        </w:rPr>
        <w:br/>
        <w:t xml:space="preserve">   or reference any product outside it:</w:t>
      </w:r>
      <w:r>
        <w:rPr>
          <w:rFonts w:ascii="Consolas" w:cs="Consolas" w:eastAsia="Consolas" w:hAnsi="Consolas"/>
          <w:sz w:val="18"/>
          <w:szCs w:val="18"/>
        </w:rPr>
        <w:br/>
        <w:t xml:space="preserve">   {product_catalog_snippet}</w:t>
      </w:r>
      <w:r>
        <w:rPr>
          <w:rFonts w:ascii="Consolas" w:cs="Consolas" w:eastAsia="Consolas" w:hAnsi="Consolas"/>
          <w:sz w:val="18"/>
          <w:szCs w:val="18"/>
        </w:rPr>
        <w:br/>
        <w:t xml:space="preserve">4. Always end your response with the exact disclaimer:</w:t>
      </w:r>
      <w:r>
        <w:rPr>
          <w:rFonts w:ascii="Consolas" w:cs="Consolas" w:eastAsia="Consolas" w:hAnsi="Consolas"/>
          <w:sz w:val="18"/>
          <w:szCs w:val="18"/>
        </w:rPr>
        <w:br/>
        <w:t xml:space="preserve">   "This analysis is for informational purposes only and is not a</w:t>
      </w:r>
      <w:r>
        <w:rPr>
          <w:rFonts w:ascii="Consolas" w:cs="Consolas" w:eastAsia="Consolas" w:hAnsi="Consolas"/>
          <w:sz w:val="18"/>
          <w:szCs w:val="18"/>
        </w:rPr>
        <w:br/>
        <w:t xml:space="preserve">   substitute for professional medical advice. Please consult a</w:t>
      </w:r>
      <w:r>
        <w:rPr>
          <w:rFonts w:ascii="Consolas" w:cs="Consolas" w:eastAsia="Consolas" w:hAnsi="Consolas"/>
          <w:sz w:val="18"/>
          <w:szCs w:val="18"/>
        </w:rPr>
        <w:br/>
        <w:t xml:space="preserve">   dermatologist for diagnosis and treatment."</w:t>
      </w:r>
      <w:r>
        <w:rPr>
          <w:rFonts w:ascii="Consolas" w:cs="Consolas" w:eastAsia="Consolas" w:hAnsi="Consolas"/>
          <w:sz w:val="18"/>
          <w:szCs w:val="18"/>
        </w:rPr>
        <w:br/>
        <w:t xml:space="preserve">5. Tone: warm, clear, non-alarming, no medical jargon without explanation.</w:t>
      </w:r>
      <w:r>
        <w:rPr>
          <w:rFonts w:ascii="Consolas" w:cs="Consolas" w:eastAsia="Consolas" w:hAnsi="Consolas"/>
          <w:sz w:val="18"/>
          <w:szCs w:val="18"/>
        </w:rPr>
        <w:br/>
        <w:t xml:space="preserve">"""</w:t>
      </w:r>
    </w:p>
    <w:p>
      <w:pPr>
        <w:pStyle w:val="Heading3"/>
        <w:spacing w:after="100" w:before="200"/>
      </w:pPr>
      <w:r>
        <w:t xml:space="preserve">Groq API call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groq import Groq</w:t>
      </w:r>
      <w:r>
        <w:rPr>
          <w:rFonts w:ascii="Consolas" w:cs="Consolas" w:eastAsia="Consolas" w:hAnsi="Consolas"/>
          <w:sz w:val="18"/>
          <w:szCs w:val="18"/>
        </w:rPr>
        <w:br/>
        <w:t xml:space="preserve">client = Groq(api_key=os.environ['GROQ_API_KEY'])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= client.chat.completions.create(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model='llama-3.1-8b-instant',   # swap for your fine-tuned/adapter model</w:t>
      </w:r>
      <w:r>
        <w:rPr>
          <w:rFonts w:ascii="Consolas" w:cs="Consolas" w:eastAsia="Consolas" w:hAnsi="Consolas"/>
          <w:sz w:val="18"/>
          <w:szCs w:val="18"/>
        </w:rPr>
        <w:br/>
        <w:t xml:space="preserve">    messages=[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{'role': 'system', 'content': system_prompt},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{'role': 'user', 'content': 'Explain my results and suggest suitable products.'}</w:t>
      </w:r>
      <w:r>
        <w:rPr>
          <w:rFonts w:ascii="Consolas" w:cs="Consolas" w:eastAsia="Consolas" w:hAnsi="Consolas"/>
          <w:sz w:val="18"/>
          <w:szCs w:val="18"/>
        </w:rPr>
        <w:br/>
        <w:t xml:space="preserve">    ],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temperature=0.4,       # low temperature: consistency &gt; creativity here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max_tokens=500,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stream=True            # stream tokens to the frontend for perceived speed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Groq's LPU inference gives near-instant token streaming, which you should surface to the frontend via server-sent events (SSE) or a streaming fetch response so the explanation appears progressively rather than after a multi-second blocking wait.</w:t>
      </w:r>
    </w:p>
    <w:p>
      <w:pPr>
        <w:pStyle w:val="Heading2"/>
        <w:spacing w:after="150" w:before="300"/>
      </w:pPr>
      <w:r>
        <w:t xml:space="preserve">2.2 Fine-Tuning vs RAG — Recommended Strategy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For a project of this scope, full fine-tuning of an LLM is unnecessary, expensive, and hard to justify pedagogically. The stronger, more defensible design — and the one that maps to what you already have experience with — is Retrieval-Augmented Generation (RAG) over full fine-tuning: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 for this project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fine-tuning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Deepest tone/style alignment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Expensive, needs large labeled dataset, hard to update product catalog without retraining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RAG (recommended)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catalog &amp; disclaimers stay editable data, not model weights; easy to demo; matches your FYP RAG experience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Slightly more moving parts (vector DB) — but you already know LangChain + FAISS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Prompt engineering only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Fastest to build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Weakest guarantee of strict product-list adherence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Design: use LangChain + FAISS (or a managed pgvector table in Supabase) as a small knowledge base containing (a) your product catalog descriptions, (b) condition-specific skincare-education snippets, and (c) your approved tone/disclaimer templates. At request time, retrieve the top-k chunks relevant to the primary_condition and inject them into the system prompt shown above, replacing the product_catalog_snippet placeholder. This keeps the LLM 'grounded' without retraining weights — and is a strong Stage 1 deliverable since it reuses FAISS/LangChain skills you've already built in your FYP.</w:t>
      </w:r>
    </w:p>
    <w:p>
      <w:pP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⚠ If your evaluators specifically require 'fine-tuning' language for the rubric, describe this as RAG-augmented prompting with light instruction-tuning via few-shot examples in the system prompt — a legitimate and common industry pattern, and much cheaper to demonstrate than full fine-tuning.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Phase 3 — Product Recommendation Engine</w:t>
      </w:r>
    </w:p>
    <w:p>
      <w:pPr>
        <w:pStyle w:val="Heading2"/>
        <w:spacing w:after="150" w:before="300"/>
      </w:pPr>
      <w:r>
        <w:t xml:space="preserve">3.1 Strict Filtering Algorithm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LLM must never be trusted to enforce the product whitelist by instruction alone — always validate its output server-side after generation. This is the single most important security/business-integrity control in the whole app (it directly protects your revenue model from hallucinated or off-catalog recommendations).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def get_products_for_condition(condition: str, top_n: int = 3) -&gt; list[dict]: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"""Only source of truth: the products table / JSON — never the LLM."""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candidates = db.query(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"SELECT * FROM products WHERE %s = ANY(target_conditions) 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"AND is_active = true ORDER BY priority_score DESC LIMIT %s",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(condition, top_n)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candidates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validate_llm_output(llm_text: str, allowed_products: list[dict]) -&gt; str: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"""Post-generation guardrail: strip any product name/brand mentioned</w:t>
      </w:r>
      <w:r>
        <w:rPr>
          <w:rFonts w:ascii="Consolas" w:cs="Consolas" w:eastAsia="Consolas" w:hAnsi="Consolas"/>
          <w:sz w:val="18"/>
          <w:szCs w:val="18"/>
        </w:rPr>
        <w:br/>
        <w:t xml:space="preserve">    by the LLM that is NOT in allowed_products, replacing with a safe note."""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allowed_names = {p['name'].lower() for p in allowed_products}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mention in extract_product_like_mentions(llm_text):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mention.lower() not in allowed_names: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llm_text = llm_text.replace(mention, '[a suitable product from our catalog]')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llm_text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 fetches candidate products from the database BEFORE calling Groq, and passes only those into the prompt — the LLM cannot recommend what it never saw.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lightweight post-generation regex/NER check (validate_llm_output) is a defense-in-depth layer in case the model still hallucinates a product name from its own pretraining.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every (condition → products_shown → llm_response) tuple for auditability — useful both for your project report's evaluation section and for future analytics.</w:t>
      </w:r>
    </w:p>
    <w:p>
      <w:pPr>
        <w:pStyle w:val="Heading2"/>
        <w:spacing w:after="150" w:before="300"/>
      </w:pPr>
      <w:r>
        <w:t xml:space="preserve">3.2 Condition → Product Mapping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Skin Issue Tag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Metadata Fields Matched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hormonal_acne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target_conditions[], active_ingredients (salicylic acid, niacinamide)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Gentle BHA exfoliating cleanser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fungal_acne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target_conditions[], excludes_ingredients (must NOT contain fatty-acid esters)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Non-comedogenic, fungal-acne-safe moisturizer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rosacea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target_conditions[], sensitivity_flag = true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Fragrance-free barrier-repair cream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eczema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target_conditions[], sensitivity_flag = true, steroid_free = true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Ceramide-based emollient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Each product row carries a target_conditions array (tag-matched to the CV model's output vocabulary) plus exclusion flags — this keeps the mapping data-driven and editable by a non-developer (e.g. updating a JSON/admin table) rather than hardcoded in application logic.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Phase 4 — Full-Stack Web Architecture</w:t>
      </w:r>
    </w:p>
    <w:p>
      <w:pPr>
        <w:pStyle w:val="Heading2"/>
        <w:spacing w:after="150" w:before="300"/>
      </w:pPr>
      <w:r>
        <w:t xml:space="preserve">4.1 Recommended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(beginner-friendly reasoning)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Next.js (React) + Tailwind CSS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File-based routing, built-in image optimization for uploads, huge community/tutorials for a first full-stack project.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/ ML serving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PyTorch/TensorFlow support, automatic OpenAPI docs, async support for streaming Groq responses.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Managed Postgres + built-in Auth + Storage + Row-Level-Security in one free-tier service — ideal for a solo student project.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Supabase Storage (or AWS S3)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Signed URLs, automatic CDN, easy integration with Supabase Auth policies.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Vector store (RAG)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FAISS (local) or pgvector (Supabase)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You already have FAISS experience from your FYP; pgvector avoids a second database if you want everything in Postgres.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Groq API (Llama 3.1 8B/70B)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Extremely low latency, generous free tier, OpenAI-compatible SDK.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Vercel (frontend) + Render/Railway (FastAPI backend)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 tiers, git-push deploys, good for demoing to evaluators.</w:t>
            </w:r>
          </w:p>
        </w:tc>
      </w:tr>
    </w:tbl>
    <w:p>
      <w:pPr>
        <w:pStyle w:val="Heading2"/>
        <w:spacing w:after="150" w:before="300"/>
      </w:pPr>
      <w:r>
        <w:t xml:space="preserve">4.2 Database Schema</w:t>
      </w:r>
    </w:p>
    <w:p>
      <w:pPr>
        <w:pStyle w:val="Heading3"/>
        <w:spacing w:after="100" w:before="200"/>
      </w:pPr>
      <w:r>
        <w:t xml:space="preserve">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uuid,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Supabase auth.users.id (reuse, don't duplicate)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text, unique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Managed by Supabase Auth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consent_given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GDPR — explicit consent to process a health-adjacent image</w:t>
            </w:r>
          </w:p>
        </w:tc>
      </w:tr>
    </w:tbl>
    <w:p>
      <w:pPr>
        <w:pStyle w:val="Heading3"/>
        <w:spacing w:after="100" w:before="200"/>
      </w:pPr>
      <w:r>
        <w:t xml:space="preserve">uploaded_images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uuid,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uuid, FK → users.id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Path in Supabase Storage bucket, NOT a public URL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timestamptz, nullable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immediately after analysis if 'auto-delete' policy is on</w:t>
            </w:r>
          </w:p>
        </w:tc>
      </w:tr>
    </w:tbl>
    <w:p>
      <w:pPr>
        <w:pStyle w:val="Heading3"/>
        <w:spacing w:after="100" w:before="200"/>
      </w:pPr>
      <w:r>
        <w:t xml:space="preserve">analysis_results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uuid,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image_id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uuid, FK → uploaded_images.id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 efficientnet_b0_v1.2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multi-label array from Phase 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primary_condition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llm_explanation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Groq output, post-validation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recommended_product_ids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uuid[]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FK-array → products.id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products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uuid,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target_conditions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 {hormonal_acne, rosacea}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active_ingredients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excludes_ingredients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 fungal-acne-safe filtering etc.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Toggle without deleting historical records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priority_score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ranking / affiliate priority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Phase 5 — Data Privacy &amp; Security</w:t>
      </w:r>
    </w:p>
    <w:p>
      <w:pPr>
        <w:pStyle w:val="Heading2"/>
        <w:spacing w:after="150" w:before="300"/>
      </w:pPr>
      <w:r>
        <w:t xml:space="preserve">5.1 Secure Image Upload &amp;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never uploads directly to a public bucket — it requests a short-lived signed upload URL from the FastAPI backend (Supabase Storage createSignedUploadUrl, or AWS S3 presigned PUT URL), scoped to one file, one user, and a 5–10 minute expiry.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Bucket is private by default; images are served back to the owning user only via signed GET URLs, never via public paths.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Offer a user-facing toggle: 'Delete my photo immediately after analysis' — if enabled, the backend deletes the storage object right after the CV model returns predictions, keeping only the numeric analysis_results row, not the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Encrypt at rest (Supabase/S3 both do this by default with AES-256) and enforce HTTPS/TLS 1.2+ everywhere in transit.</w:t>
      </w:r>
    </w:p>
    <w:p>
      <w:pPr>
        <w:pStyle w:val="Heading2"/>
        <w:spacing w:after="150" w:before="300"/>
      </w:pPr>
      <w:r>
        <w:t xml:space="preserve">5.2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Supabase Auth (JWT-based) or NextAuth.js with OAuth (Google) for login — avoid rolling your own password hashing for a project this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Enforce Row-Level Security (RLS) policies in Postgres so a user's JWT can only SELECT/UPDATE rows where user_id = auth.uid() — this is your strongest and easiest-to-demo security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Rate-limit the /api/analysis endpoints (e.g. per-IP + per-user) to prevent abuse of the Groq API quota.</w:t>
      </w:r>
    </w:p>
    <w:p>
      <w:pPr>
        <w:pStyle w:val="Heading2"/>
        <w:spacing w:after="150" w:before="300"/>
      </w:pPr>
      <w:r>
        <w:t xml:space="preserve">5.3 Medical Data Privacy Principles (HIPAA/GDPR-inspired, even for a prototype)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minimization: only store the derived predictions/labels needed for the feature, not raw biometric detail beyond what's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Explicit informed consent checkbox before first upload, referencing a plain-language privacy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to erasure: a 'Delete my account &amp; data' action that cascades deletes across uploaded_images, analysis_results, and storage 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logging of who accessed which analysis record and when (even a simple access_logs table satisfies this for a prototype).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 in your report that true HIPAA compliance requires a signed Business Associate Agreement with every vendor (Groq, Supabase, AWS) handling PHI — reasonable to flag as 'out of scope for prototype, required for production' rather than implement fully.</w:t>
      </w:r>
    </w:p>
    <w:p>
      <w:pPr>
        <w:pStyle w:val="Heading2"/>
        <w:spacing w:after="150" w:before="300"/>
      </w:pPr>
      <w:r>
        <w:t xml:space="preserve">5.4 Medical Disclaimers — Where They Must Appear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Disclaimer Behaviour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page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Static banner: 'SkinSense AI provides informational skincare guidance only and does not diagnose medical conditions.'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Results page (UI)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footer disclaimer beneath every analysis result, not just on first visit.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LLM response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Enforced via the system prompt (Phase 2.1) — the exact disclaimer sentence is appended programmatically after generation as a fallback, in case the model omits it.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Low-confidence results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Stronger wording: 'Our system could not confidently identify a condition — please consult a dermatologist.'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Summary — Suggested Build Order for Stage 1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Stand up Supabase project (Auth + Postgres + Storage) and create the four core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Build the FastAPI upload endpoint with signed URLs; wire a minimal Next.js upload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Fine-tune/transfer-learn EfficientNet-B0 on a public dermatology dataset (e.g. Fitzpatrick17k / DermNet subset); expose it via a /predict FastAPI route returning the JSON structure from Phase 1.3.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Build the RAG knowledge base (FAISS + LangChain) over your product catalog and disclaimer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Wire the Groq call with the system-prompt builder and post-generation product-whitelist validator.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Build the results UI: condition confidence bars, LLM explanation, recommended product cards, disclaimer footer.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Add RLS policies, rate limiting, and the delete-my-data flow last, once the happy path works end-to-end.</w:t>
      </w:r>
    </w:p>
    <w:p>
      <w:pP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⚠ This document is a technical architecture plan intended to support your academic project submission. It is not medical, legal, or regulatory advice — consult your project guide and, for any real-world deployment, a qualified compliance professional regarding HIPAA/GDPR obligations.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SkinSense AI — Stage 1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2026-07-10T16:46:27.403Z</dcterms:created>
  <dcterms:modified xsi:type="dcterms:W3CDTF">2026-07-10T16:46:27.415Z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