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Cluster-Aware Cross-Modal Representation Learning for SAR–Optical Earth Observation:</w:t>
      </w:r>
    </w:p>
    <w:p>
      <w:pPr>
        <w:spacing w:after="200"/>
      </w:pPr>
      <w:r>
        <w:rPr>
          <w:b/>
          <w:bCs/>
          <w:sz w:val="30"/>
          <w:szCs w:val="30"/>
        </w:rPr>
        <w:t xml:space="preserve">A Comparative Study with Multi-Seed Validation and Physics-Grounded Failure Analysis</w:t>
      </w:r>
    </w:p>
    <w:p>
      <w:pPr>
        <w:spacing w:after="160"/>
      </w:pPr>
      <w:r>
        <w:rPr>
          <w:b/>
          <w:bCs/>
        </w:rPr>
        <w:t xml:space="preserve">Author: Mohammed Kaamraan Ahmed</w:t>
      </w:r>
    </w:p>
    <w:p>
      <w:pPr>
        <w:spacing w:after="160"/>
      </w:pPr>
      <w:r>
        <w:rPr>
          <w:b/>
          <w:bCs/>
        </w:rPr>
        <w:t xml:space="preserve">Institution: Indian Institute of Information Technology, Sri City (IIITS)</w:t>
      </w:r>
    </w:p>
    <w:p>
      <w:pPr>
        <w:spacing w:after="160"/>
      </w:pPr>
      <w:r>
        <w:rPr>
          <w:i/>
          <w:iCs/>
        </w:rPr>
        <w:t xml:space="preserve">Status: End-to-end progress thesis draft, reflecting the implemented and multi-seed-validated pipeline as of this writing.</w:t>
      </w:r>
    </w:p>
    <w:p>
      <w:pPr>
        <w:pStyle w:val="Heading1"/>
        <w:spacing w:after="150" w:before="320"/>
      </w:pPr>
      <w:r>
        <w:t xml:space="preserve">Abstract</w:t>
      </w:r>
    </w:p>
    <w:p>
      <w:pPr>
        <w:spacing w:after="160"/>
      </w:pPr>
      <w:r>
        <w:t xml:space="preserve">Optical satellite sensors provide detailed spectral information for land-cover monitoring but are frequently obscured by cloud cover and atmospheric interference. Active Synthetic Aperture Radar (SAR) penetrates atmospheric obstacles but produces backscatter signals that are structurally very different from optical reflectance and difficult to interpret directly. This work develops a dual-encoder representation-learning framework that maps co-registered Sentinel-1 (SAR) and Sentinel-2 (optical) patches, sampled across four physically diverse Indian agricultural regions, into a shared latent space trained with Supervised Contrastive Loss (SupCon) using Gaussian Mixture Model (GMM) land-cover pseudo-labels.</w:t>
      </w:r>
    </w:p>
    <w:p>
      <w:pPr>
        <w:spacing w:after="160"/>
      </w:pPr>
      <w:r>
        <w:t xml:space="preserve">Across three independent random train/test splits (35 held-out test patches each, from a 172-patch dataset), downstream probes classify GMM land-cover labels from SAR-derived embeddings alone at 68.6–71.4% mean accuracy (best classifier: RBF SVM, 71.4% ± 6.2%), against a majority-class baseline of 31.4% and a random baseline of 14.3%. Cross-modal retrieval achieves a mean Top-5 accuracy of 87.6% ± 1.3% and Mean Reciprocal Rank of 0.72 ± 0.03. Downstream decoders trained on frozen SAR embeddings predict physical descriptor values with a Mean Absolute Error of 0.10 and reconstruct optical composites with an SSIM of 0.51 and PSNR of 18.2 dB — modest, partial structural correlation rather than high-fidelity synthesis.</w:t>
      </w:r>
    </w:p>
    <w:p>
      <w:pPr>
        <w:spacing w:after="160"/>
      </w:pPr>
      <w:r>
        <w:t xml:space="preserve">A per-cluster and per-region breakdown of these results reveals a physically coherent failure pattern: denser-canopy conditions (higher NDVI/RVI/entropy-proxy values) are associated with weaker cross-modal correlation, and reconstruction quality is worst in cloud-prone, high-moisture regions and best in sparse, semi-arid canopy — patterns consistent with known SAR backscatter saturation and moisture-driven signal noise. Given the dataset's small size, these patterns are presented as suggestive and physically motivated rather than statistically conclusive, and the study's limitations are stated explicitly throughout.</w:t>
      </w:r>
    </w:p>
    <w:p>
      <w:pPr>
        <w:pStyle w:val="Heading1"/>
        <w:spacing w:after="150" w:before="320"/>
      </w:pPr>
      <w:r>
        <w:t xml:space="preserve">1. Problem Statement</w:t>
      </w:r>
    </w:p>
    <w:p>
      <w:pPr>
        <w:spacing w:after="160"/>
      </w:pPr>
      <w:r>
        <w:t xml:space="preserve">Satellite remote sensing relies on two complementary sensing modalities. Sentinel-2 optical imagery measures top-of-atmosphere spectral reflectance, providing rich biophysical information but is obscured by cloud cover. Sentinel-1 SAR imagery penetrates cloud cover but suffers from speckle noise and lacks intuitive visual geometry.</w:t>
      </w:r>
    </w:p>
    <w:p>
      <w:pPr>
        <w:spacing w:after="160"/>
      </w:pPr>
      <w:r>
        <w:t xml:space="preserve">Because optical and radar data arise from fundamentally different physical sensing mechanisms and occupy different feature distributions (P(X_opt) ≠ P(X_sar)), naive pixel-level concatenation fails to capture shared land-cover semantics. Existing SAR-optical studies largely focus on maximizing prediction accuracy with new models, rarely asking how the cross-modal relationship changes across land-cover conditions, or why it degrades in certain regimes. This thesis addresses that gap directly: characterizing not just whether a shared SAR-optical representation can be learned, but where and why it succeeds or breaks down.</w:t>
      </w:r>
    </w:p>
    <w:p>
      <w:pPr>
        <w:pStyle w:val="Heading1"/>
        <w:spacing w:after="150" w:before="320"/>
      </w:pPr>
      <w:r>
        <w:t xml:space="preserve">2. Dataset &amp; Data Engineering</w:t>
      </w:r>
    </w:p>
    <w:p>
      <w:pPr>
        <w:spacing w:after="160"/>
      </w:pPr>
      <w:r>
        <w:t xml:space="preserve">The dataset consists of 172 co-registered SAR–optical patches sampled across four agriculturally diverse regions in India, chosen to span different canopy densities, moisture regimes, and cloud-cover conditions:</w:t>
      </w:r>
    </w:p>
    <w:p>
      <w:pPr>
        <w:pStyle w:val="ListParagraph"/>
        <w:numPr>
          <w:ilvl w:val="0"/>
          <w:numId w:val="1"/>
        </w:numPr>
        <w:spacing w:after="100"/>
      </w:pPr>
      <w:r>
        <w:t xml:space="preserve">Punjab (Indo-Gangetic Plain) — intensive wheat/rice rotation, dense canopy</w:t>
      </w:r>
    </w:p>
    <w:p>
      <w:pPr>
        <w:pStyle w:val="ListParagraph"/>
        <w:numPr>
          <w:ilvl w:val="0"/>
          <w:numId w:val="1"/>
        </w:numPr>
        <w:spacing w:after="100"/>
      </w:pPr>
      <w:r>
        <w:t xml:space="preserve">Krishna-Godavari Delta, Andhra Pradesh — flooded paddy rice, water/vegetation double-bounce regime</w:t>
      </w:r>
    </w:p>
    <w:p>
      <w:pPr>
        <w:pStyle w:val="ListParagraph"/>
        <w:numPr>
          <w:ilvl w:val="0"/>
          <w:numId w:val="1"/>
        </w:numPr>
        <w:spacing w:after="100"/>
      </w:pPr>
      <w:r>
        <w:t xml:space="preserve">Vidarbha, Maharashtra — semi-arid cotton/soybean, sparse canopy</w:t>
      </w:r>
    </w:p>
    <w:p>
      <w:pPr>
        <w:pStyle w:val="ListParagraph"/>
        <w:numPr>
          <w:ilvl w:val="0"/>
          <w:numId w:val="1"/>
        </w:numPr>
        <w:spacing w:after="100"/>
      </w:pPr>
      <w:r>
        <w:t xml:space="preserve">Kerala backwaters — tropical wet rice cultivation, high cloud cover</w:t>
      </w:r>
    </w:p>
    <w:p>
      <w:pPr>
        <w:spacing w:after="160"/>
      </w:pPr>
      <w:r>
        <w:t xml:space="preserve">Patches were split 80/20, stratified by GMM cluster label. The main results below (Section 5.2 onward) use a single reference split (137 train / 35 test); Section 5.1 reports results aggregated across three independent random splits (seeds 42, 1, 7) for robustness.</w:t>
      </w:r>
    </w:p>
    <w:p>
      <w:pPr>
        <w:pStyle w:val="Heading2"/>
        <w:spacing w:after="120" w:before="240"/>
      </w:pPr>
      <w:r>
        <w:t xml:space="preserve">2.1 Biophysical Feature Extraction</w:t>
      </w:r>
    </w:p>
    <w:p>
      <w:pPr>
        <w:pStyle w:val="ListParagraph"/>
        <w:numPr>
          <w:ilvl w:val="0"/>
          <w:numId w:val="1"/>
        </w:numPr>
        <w:spacing w:after="100"/>
      </w:pPr>
      <w:r>
        <w:t xml:space="preserve">NDVI = (B8 − B4) / (B8 + B4)</w:t>
      </w:r>
    </w:p>
    <w:p>
      <w:pPr>
        <w:pStyle w:val="ListParagraph"/>
        <w:numPr>
          <w:ilvl w:val="0"/>
          <w:numId w:val="1"/>
        </w:numPr>
        <w:spacing w:after="100"/>
      </w:pPr>
      <w:r>
        <w:t xml:space="preserve">NDWI = (B3 − B8) / (B3 + B8)</w:t>
      </w:r>
    </w:p>
    <w:p>
      <w:pPr>
        <w:pStyle w:val="ListParagraph"/>
        <w:numPr>
          <w:ilvl w:val="0"/>
          <w:numId w:val="1"/>
        </w:numPr>
        <w:spacing w:after="100"/>
      </w:pPr>
      <w:r>
        <w:t xml:space="preserve">EVI = 2.5 × (B8 − B4) / (B8 + 6·B4 − 7.5·B2 + 1.0)</w:t>
      </w:r>
    </w:p>
    <w:p>
      <w:pPr>
        <w:pStyle w:val="ListParagraph"/>
        <w:numPr>
          <w:ilvl w:val="0"/>
          <w:numId w:val="1"/>
        </w:numPr>
        <w:spacing w:after="100"/>
      </w:pPr>
      <w:r>
        <w:t xml:space="preserve">RVI = 4·σ°_VH / (σ°_VV + σ°_VH)</w:t>
      </w:r>
    </w:p>
    <w:p>
      <w:pPr>
        <w:pStyle w:val="ListParagraph"/>
        <w:numPr>
          <w:ilvl w:val="0"/>
          <w:numId w:val="1"/>
        </w:numPr>
        <w:spacing w:after="100"/>
      </w:pPr>
      <w:r>
        <w:t xml:space="preserve">VH/VV ratio = σ°_VH / σ°_VV</w:t>
      </w:r>
    </w:p>
    <w:p>
      <w:pPr>
        <w:spacing w:after="160"/>
      </w:pPr>
      <w:r>
        <w:t xml:space="preserve">Note: the “entropy proxy” descriptor is a simplified dual-pol power-ratio approximation, not the rigorous Cloude–Pottier polarimetric entropy decomposition, which requires quad-pol or phase-preserving SLC SAR data unavailable from Sentinel-1 GRD. This is a stated scoping decision (see Section 8).</w:t>
      </w:r>
    </w:p>
    <w:p>
      <w:pPr>
        <w:pStyle w:val="Heading1"/>
        <w:spacing w:after="150" w:before="320"/>
      </w:pPr>
      <w:r>
        <w:t xml:space="preserve">3. Methodology &amp; Pipeline</w:t>
      </w:r>
    </w:p>
    <w:p>
      <w:pPr>
        <w:pStyle w:val="ListParagraph"/>
        <w:numPr>
          <w:ilvl w:val="0"/>
          <w:numId w:val="1"/>
        </w:numPr>
        <w:spacing w:after="100"/>
      </w:pPr>
      <w:r>
        <w:t xml:space="preserve">Stage 1–2: Band math — NDVI, NDWI, EVI, RVI, VH/VV ratio, entropy proxy per patch.</w:t>
      </w:r>
    </w:p>
    <w:p>
      <w:pPr>
        <w:pStyle w:val="ListParagraph"/>
        <w:numPr>
          <w:ilvl w:val="0"/>
          <w:numId w:val="1"/>
        </w:numPr>
        <w:spacing w:after="100"/>
      </w:pPr>
      <w:r>
        <w:t xml:space="preserve">Stage 3: GMM pseudo-labeling — K=7 land-cover clusters fit on mean physical indices via Expectation-Maximization.</w:t>
      </w:r>
    </w:p>
    <w:p>
      <w:pPr>
        <w:pStyle w:val="ListParagraph"/>
        <w:numPr>
          <w:ilvl w:val="0"/>
          <w:numId w:val="1"/>
        </w:numPr>
        <w:spacing w:after="100"/>
      </w:pPr>
      <w:r>
        <w:t xml:space="preserve">Stage 4: Dual-encoder SupCon training — two ResNet-18 encoders (SAR: 5 channels; Optical: 7 channels), with layer1–layer4 initialized from ImageNet-pretrained weights (conv1 re-initialized for the modality-specific channel count) to mitigate overfitting on a small dataset, and a projection head mapping to a 64-dimensional, L2-normalized latent space. Trained with Supervised Contrastive Loss (τ = 0.07) using GMM cluster labels.</w:t>
      </w:r>
    </w:p>
    <w:p>
      <w:pPr>
        <w:pStyle w:val="ListParagraph"/>
        <w:numPr>
          <w:ilvl w:val="0"/>
          <w:numId w:val="1"/>
        </w:numPr>
        <w:spacing w:after="100"/>
      </w:pPr>
      <w:r>
        <w:t xml:space="preserve">Stage 5: Latent space evaluation — Silhouette, Calinski-Harabasz, Davies-Bouldin, computed separately for train and test splits.</w:t>
      </w:r>
    </w:p>
    <w:p>
      <w:pPr>
        <w:pStyle w:val="ListParagraph"/>
        <w:numPr>
          <w:ilvl w:val="0"/>
          <w:numId w:val="1"/>
        </w:numPr>
        <w:spacing w:after="100"/>
      </w:pPr>
      <w:r>
        <w:t xml:space="preserve">Stage 6: Downstream probing and retrieval — classifiers trained on train-split embeddings, evaluated on held-out test embeddings; cross-modal k-NN retrieval with query and gallery both restricted to the test split.</w:t>
      </w:r>
    </w:p>
    <w:p>
      <w:pPr>
        <w:pStyle w:val="ListParagraph"/>
        <w:numPr>
          <w:ilvl w:val="0"/>
          <w:numId w:val="1"/>
        </w:numPr>
        <w:spacing w:after="100"/>
      </w:pPr>
      <w:r>
        <w:t xml:space="preserve">Stage 8: Physical Feature Decoder — a 3-layer MLP mapping frozen SAR embeddings to 5 physical descriptor values, MSE loss, train split only.</w:t>
      </w:r>
    </w:p>
    <w:p>
      <w:pPr>
        <w:pStyle w:val="ListParagraph"/>
        <w:numPr>
          <w:ilvl w:val="0"/>
          <w:numId w:val="1"/>
        </w:numPr>
        <w:spacing w:after="100"/>
      </w:pPr>
      <w:r>
        <w:t xml:space="preserve">Stage 9: Optical Image Decoder — a deconvolutional network (bilinear upsampling + convolution) expanding the frozen SAR embedding into a 128×128×3 optical composite, train split only.</w:t>
      </w:r>
    </w:p>
    <w:p>
      <w:pPr>
        <w:pStyle w:val="ListParagraph"/>
        <w:numPr>
          <w:ilvl w:val="0"/>
          <w:numId w:val="1"/>
        </w:numPr>
        <w:spacing w:after="100"/>
      </w:pPr>
      <w:r>
        <w:t xml:space="preserve">Failure-mode analysis — all Stage 6/8/9 metrics recomputed per GMM cluster and per source region on the held-out test set, joined with each group's mean physical descriptor values.</w:t>
      </w:r>
    </w:p>
    <w:p>
      <w:pPr>
        <w:spacing w:after="160"/>
      </w:pPr>
      <w:r>
        <w:t xml:space="preserve">All reported test-set metrics are computed strictly on patches excluded from both encoder training (Stage 4) and decoder training (Stages 8–9).</w:t>
      </w:r>
    </w:p>
    <w:p>
      <w:pPr>
        <w:pStyle w:val="Heading1"/>
        <w:spacing w:after="150" w:before="320"/>
      </w:pPr>
      <w:r>
        <w:t xml:space="preserve">4. Experimental Setup</w:t>
      </w:r>
    </w:p>
    <w:p>
      <w:pPr>
        <w:spacing w:after="160"/>
      </w:pPr>
      <w:r>
        <w:t xml:space="preserve">Two evaluation regimes are reported:</w:t>
      </w:r>
    </w:p>
    <w:p>
      <w:pPr>
        <w:pStyle w:val="ListParagraph"/>
        <w:numPr>
          <w:ilvl w:val="0"/>
          <w:numId w:val="1"/>
        </w:numPr>
        <w:spacing w:after="100"/>
      </w:pPr>
      <w:r>
        <w:t xml:space="preserve">Multi-seed robustness (Section 5.1): the full pipeline — split, encoder training, embedding extraction, probing, retrieval — repeated independently for 3 random seeds (42, 1, 7), each producing its own 137/35 train/test split and its own trained encoder. Mean ± standard deviation is reported across the 3 runs.</w:t>
      </w:r>
    </w:p>
    <w:p>
      <w:pPr>
        <w:pStyle w:val="ListParagraph"/>
        <w:numPr>
          <w:ilvl w:val="0"/>
          <w:numId w:val="1"/>
        </w:numPr>
        <w:spacing w:after="100"/>
      </w:pPr>
      <w:r>
        <w:t xml:space="preserve">Single-split deep dive (Sections 5.2–5.3): decoders and the per-cluster/per-region failure-mode analysis were run on one reference split, since retraining decoders and re-running the full failure analysis for every seed was outside this stage's scope. Numbers in these sections should be read as a detailed case study, not as multi-seed-averaged results.</w:t>
      </w:r>
    </w:p>
    <w:p>
      <w:pPr>
        <w:pStyle w:val="Heading1"/>
        <w:spacing w:after="150" w:before="320"/>
      </w:pPr>
      <w:r>
        <w:t xml:space="preserve">5. Results</w:t>
      </w:r>
    </w:p>
    <w:p>
      <w:pPr>
        <w:pStyle w:val="Heading2"/>
        <w:spacing w:after="120" w:before="240"/>
      </w:pPr>
      <w:r>
        <w:t xml:space="preserve">5.1 Multi-Seed Representation Learning Results (3 seeds: 42, 1, 7)</w:t>
      </w:r>
    </w:p>
    <w:p>
      <w:pPr>
        <w:spacing w:after="160"/>
      </w:pPr>
      <w:r>
        <w:t xml:space="preserve">Baselines: random guessing = 14.3% (7 classes); majority-class baseline = 31.4% (largest test cluster, 11/35 patches).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2800"/>
      </w:tblGrid>
      <w:tr>
        <w:tc>
          <w:tcPr>
            <w:tcW w:type="dxa" w:w="3200"/>
            <w:shd w:fill="D9E2F3" w:val="clear"/>
          </w:tcPr>
          <w:p>
            <w:r>
              <w:rPr>
                <w:b/>
                <w:bCs/>
                <w:sz w:val="20"/>
                <w:szCs w:val="20"/>
              </w:rPr>
              <w:t xml:space="preserve">Metric</w:t>
            </w:r>
          </w:p>
        </w:tc>
        <w:tc>
          <w:tcPr>
            <w:tcW w:type="dxa" w:w="1500"/>
            <w:shd w:fill="D9E2F3" w:val="clear"/>
          </w:tcPr>
          <w:p>
            <w:r>
              <w:rPr>
                <w:b/>
                <w:bCs/>
                <w:sz w:val="20"/>
                <w:szCs w:val="20"/>
              </w:rPr>
              <w:t xml:space="preserve">Mean</w:t>
            </w:r>
          </w:p>
        </w:tc>
        <w:tc>
          <w:tcPr>
            <w:tcW w:type="dxa" w:w="1500"/>
            <w:shd w:fill="D9E2F3" w:val="clear"/>
          </w:tcPr>
          <w:p>
            <w:r>
              <w:rPr>
                <w:b/>
                <w:bCs/>
                <w:sz w:val="20"/>
                <w:szCs w:val="20"/>
              </w:rPr>
              <w:t xml:space="preserve">Std Dev</w:t>
            </w:r>
          </w:p>
        </w:tc>
        <w:tc>
          <w:tcPr>
            <w:tcW w:type="dxa" w:w="2800"/>
            <w:shd w:fill="D9E2F3" w:val="clear"/>
          </w:tcPr>
          <w:p>
            <w:r>
              <w:rPr>
                <w:b/>
                <w:bCs/>
                <w:sz w:val="20"/>
                <w:szCs w:val="20"/>
              </w:rPr>
              <w:t xml:space="preserve">Per-seed values</w:t>
            </w:r>
          </w:p>
        </w:tc>
      </w:tr>
      <w:tr>
        <w:tc>
          <w:tcPr>
            <w:tcW w:type="dxa" w:w="3200"/>
          </w:tcPr>
          <w:p>
            <w:r>
              <w:rPr>
                <w:b w:val="false"/>
                <w:bCs w:val="false"/>
                <w:sz w:val="20"/>
                <w:szCs w:val="20"/>
              </w:rPr>
              <w:t xml:space="preserve">Linear SVM Probe Accuracy</w:t>
            </w:r>
          </w:p>
        </w:tc>
        <w:tc>
          <w:tcPr>
            <w:tcW w:type="dxa" w:w="1500"/>
          </w:tcPr>
          <w:p>
            <w:r>
              <w:rPr>
                <w:b w:val="false"/>
                <w:bCs w:val="false"/>
                <w:sz w:val="20"/>
                <w:szCs w:val="20"/>
              </w:rPr>
              <w:t xml:space="preserve">70.48%</w:t>
            </w:r>
          </w:p>
        </w:tc>
        <w:tc>
          <w:tcPr>
            <w:tcW w:type="dxa" w:w="1500"/>
          </w:tcPr>
          <w:p>
            <w:r>
              <w:rPr>
                <w:b w:val="false"/>
                <w:bCs w:val="false"/>
                <w:sz w:val="20"/>
                <w:szCs w:val="20"/>
              </w:rPr>
              <w:t xml:space="preserve">3.56</w:t>
            </w:r>
          </w:p>
        </w:tc>
        <w:tc>
          <w:tcPr>
            <w:tcW w:type="dxa" w:w="2800"/>
          </w:tcPr>
          <w:p>
            <w:r>
              <w:rPr>
                <w:b w:val="false"/>
                <w:bCs w:val="false"/>
                <w:sz w:val="20"/>
                <w:szCs w:val="20"/>
              </w:rPr>
              <w:t xml:space="preserve">71.43, 65.71, 74.29</w:t>
            </w:r>
          </w:p>
        </w:tc>
      </w:tr>
      <w:tr>
        <w:tc>
          <w:tcPr>
            <w:tcW w:type="dxa" w:w="3200"/>
          </w:tcPr>
          <w:p>
            <w:r>
              <w:rPr>
                <w:b w:val="false"/>
                <w:bCs w:val="false"/>
                <w:sz w:val="20"/>
                <w:szCs w:val="20"/>
              </w:rPr>
              <w:t xml:space="preserve">RBF SVM Probe Accuracy</w:t>
            </w:r>
          </w:p>
        </w:tc>
        <w:tc>
          <w:tcPr>
            <w:tcW w:type="dxa" w:w="1500"/>
          </w:tcPr>
          <w:p>
            <w:r>
              <w:rPr>
                <w:b w:val="false"/>
                <w:bCs w:val="false"/>
                <w:sz w:val="20"/>
                <w:szCs w:val="20"/>
              </w:rPr>
              <w:t xml:space="preserve">71.43%</w:t>
            </w:r>
          </w:p>
        </w:tc>
        <w:tc>
          <w:tcPr>
            <w:tcW w:type="dxa" w:w="1500"/>
          </w:tcPr>
          <w:p>
            <w:r>
              <w:rPr>
                <w:b w:val="false"/>
                <w:bCs w:val="false"/>
                <w:sz w:val="20"/>
                <w:szCs w:val="20"/>
              </w:rPr>
              <w:t xml:space="preserve">6.17</w:t>
            </w:r>
          </w:p>
        </w:tc>
        <w:tc>
          <w:tcPr>
            <w:tcW w:type="dxa" w:w="2800"/>
          </w:tcPr>
          <w:p>
            <w:r>
              <w:rPr>
                <w:b w:val="false"/>
                <w:bCs w:val="false"/>
                <w:sz w:val="20"/>
                <w:szCs w:val="20"/>
              </w:rPr>
              <w:t xml:space="preserve">77.14, 62.86, 74.29</w:t>
            </w:r>
          </w:p>
        </w:tc>
      </w:tr>
      <w:tr>
        <w:tc>
          <w:tcPr>
            <w:tcW w:type="dxa" w:w="3200"/>
          </w:tcPr>
          <w:p>
            <w:r>
              <w:rPr>
                <w:b w:val="false"/>
                <w:bCs w:val="false"/>
                <w:sz w:val="20"/>
                <w:szCs w:val="20"/>
              </w:rPr>
              <w:t xml:space="preserve">Random Forest Probe Accuracy</w:t>
            </w:r>
          </w:p>
        </w:tc>
        <w:tc>
          <w:tcPr>
            <w:tcW w:type="dxa" w:w="1500"/>
          </w:tcPr>
          <w:p>
            <w:r>
              <w:rPr>
                <w:b w:val="false"/>
                <w:bCs w:val="false"/>
                <w:sz w:val="20"/>
                <w:szCs w:val="20"/>
              </w:rPr>
              <w:t xml:space="preserve">68.57%</w:t>
            </w:r>
          </w:p>
        </w:tc>
        <w:tc>
          <w:tcPr>
            <w:tcW w:type="dxa" w:w="1500"/>
          </w:tcPr>
          <w:p>
            <w:r>
              <w:rPr>
                <w:b w:val="false"/>
                <w:bCs w:val="false"/>
                <w:sz w:val="20"/>
                <w:szCs w:val="20"/>
              </w:rPr>
              <w:t xml:space="preserve">6.17</w:t>
            </w:r>
          </w:p>
        </w:tc>
        <w:tc>
          <w:tcPr>
            <w:tcW w:type="dxa" w:w="2800"/>
          </w:tcPr>
          <w:p>
            <w:r>
              <w:rPr>
                <w:b w:val="false"/>
                <w:bCs w:val="false"/>
                <w:sz w:val="20"/>
                <w:szCs w:val="20"/>
              </w:rPr>
              <w:t xml:space="preserve">74.29, 60.00, 71.43</w:t>
            </w:r>
          </w:p>
        </w:tc>
      </w:tr>
      <w:tr>
        <w:tc>
          <w:tcPr>
            <w:tcW w:type="dxa" w:w="3200"/>
          </w:tcPr>
          <w:p>
            <w:r>
              <w:rPr>
                <w:b w:val="false"/>
                <w:bCs w:val="false"/>
                <w:sz w:val="20"/>
                <w:szCs w:val="20"/>
              </w:rPr>
              <w:t xml:space="preserve">Gradient Boosting Probe Accuracy</w:t>
            </w:r>
          </w:p>
        </w:tc>
        <w:tc>
          <w:tcPr>
            <w:tcW w:type="dxa" w:w="1500"/>
          </w:tcPr>
          <w:p>
            <w:r>
              <w:rPr>
                <w:b w:val="false"/>
                <w:bCs w:val="false"/>
                <w:sz w:val="20"/>
                <w:szCs w:val="20"/>
              </w:rPr>
              <w:t xml:space="preserve">70.48%</w:t>
            </w:r>
          </w:p>
        </w:tc>
        <w:tc>
          <w:tcPr>
            <w:tcW w:type="dxa" w:w="1500"/>
          </w:tcPr>
          <w:p>
            <w:r>
              <w:rPr>
                <w:b w:val="false"/>
                <w:bCs w:val="false"/>
                <w:sz w:val="20"/>
                <w:szCs w:val="20"/>
              </w:rPr>
              <w:t xml:space="preserve">7.13</w:t>
            </w:r>
          </w:p>
        </w:tc>
        <w:tc>
          <w:tcPr>
            <w:tcW w:type="dxa" w:w="2800"/>
          </w:tcPr>
          <w:p>
            <w:r>
              <w:rPr>
                <w:b w:val="false"/>
                <w:bCs w:val="false"/>
                <w:sz w:val="20"/>
                <w:szCs w:val="20"/>
              </w:rPr>
              <w:t xml:space="preserve">80.00, 62.86, 68.57</w:t>
            </w:r>
          </w:p>
        </w:tc>
      </w:tr>
      <w:tr>
        <w:tc>
          <w:tcPr>
            <w:tcW w:type="dxa" w:w="3200"/>
          </w:tcPr>
          <w:p>
            <w:r>
              <w:rPr>
                <w:b w:val="false"/>
                <w:bCs w:val="false"/>
                <w:sz w:val="20"/>
                <w:szCs w:val="20"/>
              </w:rPr>
              <w:t xml:space="preserve">MLP Probe Accuracy</w:t>
            </w:r>
          </w:p>
        </w:tc>
        <w:tc>
          <w:tcPr>
            <w:tcW w:type="dxa" w:w="1500"/>
          </w:tcPr>
          <w:p>
            <w:r>
              <w:rPr>
                <w:b w:val="false"/>
                <w:bCs w:val="false"/>
                <w:sz w:val="20"/>
                <w:szCs w:val="20"/>
              </w:rPr>
              <w:t xml:space="preserve">69.52%</w:t>
            </w:r>
          </w:p>
        </w:tc>
        <w:tc>
          <w:tcPr>
            <w:tcW w:type="dxa" w:w="1500"/>
          </w:tcPr>
          <w:p>
            <w:r>
              <w:rPr>
                <w:b w:val="false"/>
                <w:bCs w:val="false"/>
                <w:sz w:val="20"/>
                <w:szCs w:val="20"/>
              </w:rPr>
              <w:t xml:space="preserve">7.13</w:t>
            </w:r>
          </w:p>
        </w:tc>
        <w:tc>
          <w:tcPr>
            <w:tcW w:type="dxa" w:w="2800"/>
          </w:tcPr>
          <w:p>
            <w:r>
              <w:rPr>
                <w:b w:val="false"/>
                <w:bCs w:val="false"/>
                <w:sz w:val="20"/>
                <w:szCs w:val="20"/>
              </w:rPr>
              <w:t xml:space="preserve">77.14, 60.00, 71.43</w:t>
            </w:r>
          </w:p>
        </w:tc>
      </w:tr>
      <w:tr>
        <w:tc>
          <w:tcPr>
            <w:tcW w:type="dxa" w:w="3200"/>
          </w:tcPr>
          <w:p>
            <w:r>
              <w:rPr>
                <w:b w:val="false"/>
                <w:bCs w:val="false"/>
                <w:sz w:val="20"/>
                <w:szCs w:val="20"/>
              </w:rPr>
              <w:t xml:space="preserve">Top-1 Retrieval Accuracy</w:t>
            </w:r>
          </w:p>
        </w:tc>
        <w:tc>
          <w:tcPr>
            <w:tcW w:type="dxa" w:w="1500"/>
          </w:tcPr>
          <w:p>
            <w:r>
              <w:rPr>
                <w:b w:val="false"/>
                <w:bCs w:val="false"/>
                <w:sz w:val="20"/>
                <w:szCs w:val="20"/>
              </w:rPr>
              <w:t xml:space="preserve">61.90%</w:t>
            </w:r>
          </w:p>
        </w:tc>
        <w:tc>
          <w:tcPr>
            <w:tcW w:type="dxa" w:w="1500"/>
          </w:tcPr>
          <w:p>
            <w:r>
              <w:rPr>
                <w:b w:val="false"/>
                <w:bCs w:val="false"/>
                <w:sz w:val="20"/>
                <w:szCs w:val="20"/>
              </w:rPr>
              <w:t xml:space="preserve">4.86</w:t>
            </w:r>
          </w:p>
        </w:tc>
        <w:tc>
          <w:tcPr>
            <w:tcW w:type="dxa" w:w="2800"/>
          </w:tcPr>
          <w:p>
            <w:r>
              <w:rPr>
                <w:b w:val="false"/>
                <w:bCs w:val="false"/>
                <w:sz w:val="20"/>
                <w:szCs w:val="20"/>
              </w:rPr>
              <w:t xml:space="preserve">60.00, 57.14, 68.57</w:t>
            </w:r>
          </w:p>
        </w:tc>
      </w:tr>
      <w:tr>
        <w:tc>
          <w:tcPr>
            <w:tcW w:type="dxa" w:w="3200"/>
          </w:tcPr>
          <w:p>
            <w:r>
              <w:rPr>
                <w:b w:val="false"/>
                <w:bCs w:val="false"/>
                <w:sz w:val="20"/>
                <w:szCs w:val="20"/>
              </w:rPr>
              <w:t xml:space="preserve">Top-3 Retrieval Accuracy</w:t>
            </w:r>
          </w:p>
        </w:tc>
        <w:tc>
          <w:tcPr>
            <w:tcW w:type="dxa" w:w="1500"/>
          </w:tcPr>
          <w:p>
            <w:r>
              <w:rPr>
                <w:b w:val="false"/>
                <w:bCs w:val="false"/>
                <w:sz w:val="20"/>
                <w:szCs w:val="20"/>
              </w:rPr>
              <w:t xml:space="preserve">80.00%</w:t>
            </w:r>
          </w:p>
        </w:tc>
        <w:tc>
          <w:tcPr>
            <w:tcW w:type="dxa" w:w="1500"/>
          </w:tcPr>
          <w:p>
            <w:r>
              <w:rPr>
                <w:b w:val="false"/>
                <w:bCs w:val="false"/>
                <w:sz w:val="20"/>
                <w:szCs w:val="20"/>
              </w:rPr>
              <w:t xml:space="preserve">0.00</w:t>
            </w:r>
          </w:p>
        </w:tc>
        <w:tc>
          <w:tcPr>
            <w:tcW w:type="dxa" w:w="2800"/>
          </w:tcPr>
          <w:p>
            <w:r>
              <w:rPr>
                <w:b w:val="false"/>
                <w:bCs w:val="false"/>
                <w:sz w:val="20"/>
                <w:szCs w:val="20"/>
              </w:rPr>
              <w:t xml:space="preserve">80.00, 80.00, 80.00</w:t>
            </w:r>
          </w:p>
        </w:tc>
      </w:tr>
      <w:tr>
        <w:tc>
          <w:tcPr>
            <w:tcW w:type="dxa" w:w="3200"/>
          </w:tcPr>
          <w:p>
            <w:r>
              <w:rPr>
                <w:b w:val="false"/>
                <w:bCs w:val="false"/>
                <w:sz w:val="20"/>
                <w:szCs w:val="20"/>
              </w:rPr>
              <w:t xml:space="preserve">Top-5 Retrieval Accuracy</w:t>
            </w:r>
          </w:p>
        </w:tc>
        <w:tc>
          <w:tcPr>
            <w:tcW w:type="dxa" w:w="1500"/>
          </w:tcPr>
          <w:p>
            <w:r>
              <w:rPr>
                <w:b w:val="false"/>
                <w:bCs w:val="false"/>
                <w:sz w:val="20"/>
                <w:szCs w:val="20"/>
              </w:rPr>
              <w:t xml:space="preserve">87.62%</w:t>
            </w:r>
          </w:p>
        </w:tc>
        <w:tc>
          <w:tcPr>
            <w:tcW w:type="dxa" w:w="1500"/>
          </w:tcPr>
          <w:p>
            <w:r>
              <w:rPr>
                <w:b w:val="false"/>
                <w:bCs w:val="false"/>
                <w:sz w:val="20"/>
                <w:szCs w:val="20"/>
              </w:rPr>
              <w:t xml:space="preserve">1.35</w:t>
            </w:r>
          </w:p>
        </w:tc>
        <w:tc>
          <w:tcPr>
            <w:tcW w:type="dxa" w:w="2800"/>
          </w:tcPr>
          <w:p>
            <w:r>
              <w:rPr>
                <w:b w:val="false"/>
                <w:bCs w:val="false"/>
                <w:sz w:val="20"/>
                <w:szCs w:val="20"/>
              </w:rPr>
              <w:t xml:space="preserve">88.57, 85.71, 88.57</w:t>
            </w:r>
          </w:p>
        </w:tc>
      </w:tr>
      <w:tr>
        <w:tc>
          <w:tcPr>
            <w:tcW w:type="dxa" w:w="3200"/>
          </w:tcPr>
          <w:p>
            <w:r>
              <w:rPr>
                <w:b w:val="false"/>
                <w:bCs w:val="false"/>
                <w:sz w:val="20"/>
                <w:szCs w:val="20"/>
              </w:rPr>
              <w:t xml:space="preserve">Mean Reciprocal Rank (MRR)</w:t>
            </w:r>
          </w:p>
        </w:tc>
        <w:tc>
          <w:tcPr>
            <w:tcW w:type="dxa" w:w="1500"/>
          </w:tcPr>
          <w:p>
            <w:r>
              <w:rPr>
                <w:b w:val="false"/>
                <w:bCs w:val="false"/>
                <w:sz w:val="20"/>
                <w:szCs w:val="20"/>
              </w:rPr>
              <w:t xml:space="preserve">0.72</w:t>
            </w:r>
          </w:p>
        </w:tc>
        <w:tc>
          <w:tcPr>
            <w:tcW w:type="dxa" w:w="1500"/>
          </w:tcPr>
          <w:p>
            <w:r>
              <w:rPr>
                <w:b w:val="false"/>
                <w:bCs w:val="false"/>
                <w:sz w:val="20"/>
                <w:szCs w:val="20"/>
              </w:rPr>
              <w:t xml:space="preserve">0.03</w:t>
            </w:r>
          </w:p>
        </w:tc>
        <w:tc>
          <w:tcPr>
            <w:tcW w:type="dxa" w:w="2800"/>
          </w:tcPr>
          <w:p>
            <w:r>
              <w:rPr>
                <w:b w:val="false"/>
                <w:bCs w:val="false"/>
                <w:sz w:val="20"/>
                <w:szCs w:val="20"/>
              </w:rPr>
              <w:t xml:space="preserve">0.72, 0.68, 0.76</w:t>
            </w:r>
          </w:p>
        </w:tc>
      </w:tr>
    </w:tbl>
    <w:p>
      <w:pPr>
        <w:spacing w:after="200"/>
      </w:pPr>
    </w:p>
    <w:p>
      <w:pPr>
        <w:spacing w:after="160"/>
      </w:pPr>
      <w:r>
        <w:t xml:space="preserve">All probe accuracies remain well above the 31.4% majority-class baseline across every individual seed, and standard deviations are modest relative to the margin over baseline — indicating the SAR-derived embedding captures real, reproducible land-cover structure rather than a single-split artifact.</w:t>
      </w:r>
    </w:p>
    <w:p>
      <w:pPr>
        <w:pStyle w:val="Heading2"/>
        <w:spacing w:after="120" w:before="240"/>
      </w:pPr>
      <w:r>
        <w:t xml:space="preserve">5.2 Generative Decoding Results (single reference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00"/>
      </w:tblGrid>
      <w:tr>
        <w:tc>
          <w:tcPr>
            <w:tcW w:type="dxa" w:w="3500"/>
            <w:shd w:fill="D9E2F3" w:val="clear"/>
          </w:tcPr>
          <w:p>
            <w:r>
              <w:rPr>
                <w:b/>
                <w:bCs/>
                <w:sz w:val="20"/>
                <w:szCs w:val="20"/>
              </w:rPr>
              <w:t xml:space="preserve">Metric</w:t>
            </w:r>
          </w:p>
        </w:tc>
        <w:tc>
          <w:tcPr>
            <w:tcW w:type="dxa" w:w="2500"/>
            <w:shd w:fill="D9E2F3" w:val="clear"/>
          </w:tcPr>
          <w:p>
            <w:r>
              <w:rPr>
                <w:b/>
                <w:bCs/>
                <w:sz w:val="20"/>
                <w:szCs w:val="20"/>
              </w:rPr>
              <w:t xml:space="preserve">Value</w:t>
            </w:r>
          </w:p>
        </w:tc>
        <w:tc>
          <w:tcPr>
            <w:tcW w:type="dxa" w:w="3000"/>
            <w:shd w:fill="D9E2F3" w:val="clear"/>
          </w:tcPr>
          <w:p>
            <w:r>
              <w:rPr>
                <w:b/>
                <w:bCs/>
                <w:sz w:val="20"/>
                <w:szCs w:val="20"/>
              </w:rPr>
              <w:t xml:space="preserve">Reference</w:t>
            </w:r>
          </w:p>
        </w:tc>
      </w:tr>
      <w:tr>
        <w:tc>
          <w:tcPr>
            <w:tcW w:type="dxa" w:w="3500"/>
          </w:tcPr>
          <w:p>
            <w:r>
              <w:rPr>
                <w:b w:val="false"/>
                <w:bCs w:val="false"/>
                <w:sz w:val="20"/>
                <w:szCs w:val="20"/>
              </w:rPr>
              <w:t xml:space="preserve">Feature Decoder MAE</w:t>
            </w:r>
          </w:p>
        </w:tc>
        <w:tc>
          <w:tcPr>
            <w:tcW w:type="dxa" w:w="2500"/>
          </w:tcPr>
          <w:p>
            <w:r>
              <w:rPr>
                <w:b w:val="false"/>
                <w:bCs w:val="false"/>
                <w:sz w:val="20"/>
                <w:szCs w:val="20"/>
              </w:rPr>
              <w:t xml:space="preserve">0.0999</w:t>
            </w:r>
          </w:p>
        </w:tc>
        <w:tc>
          <w:tcPr>
            <w:tcW w:type="dxa" w:w="3000"/>
          </w:tcPr>
          <w:p>
            <w:r>
              <w:rPr>
                <w:b w:val="false"/>
                <w:bCs w:val="false"/>
                <w:sz w:val="20"/>
                <w:szCs w:val="20"/>
              </w:rPr>
              <w:t xml:space="preserve">descriptors normalized ~[0,1]</w:t>
            </w:r>
          </w:p>
        </w:tc>
      </w:tr>
      <w:tr>
        <w:tc>
          <w:tcPr>
            <w:tcW w:type="dxa" w:w="3500"/>
          </w:tcPr>
          <w:p>
            <w:r>
              <w:rPr>
                <w:b w:val="false"/>
                <w:bCs w:val="false"/>
                <w:sz w:val="20"/>
                <w:szCs w:val="20"/>
              </w:rPr>
              <w:t xml:space="preserve">Feature Decoder RMSE</w:t>
            </w:r>
          </w:p>
        </w:tc>
        <w:tc>
          <w:tcPr>
            <w:tcW w:type="dxa" w:w="2500"/>
          </w:tcPr>
          <w:p>
            <w:r>
              <w:rPr>
                <w:b w:val="false"/>
                <w:bCs w:val="false"/>
                <w:sz w:val="20"/>
                <w:szCs w:val="20"/>
              </w:rPr>
              <w:t xml:space="preserve">0.1541</w:t>
            </w:r>
          </w:p>
        </w:tc>
        <w:tc>
          <w:tcPr>
            <w:tcW w:type="dxa" w:w="3000"/>
          </w:tcPr>
          <w:p>
            <w:r>
              <w:rPr>
                <w:b w:val="false"/>
                <w:bCs w:val="false"/>
                <w:sz w:val="20"/>
                <w:szCs w:val="20"/>
              </w:rPr>
              <w:t xml:space="preserve"/>
            </w:r>
          </w:p>
        </w:tc>
      </w:tr>
      <w:tr>
        <w:tc>
          <w:tcPr>
            <w:tcW w:type="dxa" w:w="3500"/>
          </w:tcPr>
          <w:p>
            <w:r>
              <w:rPr>
                <w:b w:val="false"/>
                <w:bCs w:val="false"/>
                <w:sz w:val="20"/>
                <w:szCs w:val="20"/>
              </w:rPr>
              <w:t xml:space="preserve">Image Synthesis SSIM</w:t>
            </w:r>
          </w:p>
        </w:tc>
        <w:tc>
          <w:tcPr>
            <w:tcW w:type="dxa" w:w="2500"/>
          </w:tcPr>
          <w:p>
            <w:r>
              <w:rPr>
                <w:b w:val="false"/>
                <w:bCs w:val="false"/>
                <w:sz w:val="20"/>
                <w:szCs w:val="20"/>
              </w:rPr>
              <w:t xml:space="preserve">0.5112</w:t>
            </w:r>
          </w:p>
        </w:tc>
        <w:tc>
          <w:tcPr>
            <w:tcW w:type="dxa" w:w="3000"/>
          </w:tcPr>
          <w:p>
            <w:r>
              <w:rPr>
                <w:b w:val="false"/>
                <w:bCs w:val="false"/>
                <w:sz w:val="20"/>
                <w:szCs w:val="20"/>
              </w:rPr>
              <w:t xml:space="preserve">1.0 = identical</w:t>
            </w:r>
          </w:p>
        </w:tc>
      </w:tr>
      <w:tr>
        <w:tc>
          <w:tcPr>
            <w:tcW w:type="dxa" w:w="3500"/>
          </w:tcPr>
          <w:p>
            <w:r>
              <w:rPr>
                <w:b w:val="false"/>
                <w:bCs w:val="false"/>
                <w:sz w:val="20"/>
                <w:szCs w:val="20"/>
              </w:rPr>
              <w:t xml:space="preserve">Image Synthesis PSNR</w:t>
            </w:r>
          </w:p>
        </w:tc>
        <w:tc>
          <w:tcPr>
            <w:tcW w:type="dxa" w:w="2500"/>
          </w:tcPr>
          <w:p>
            <w:r>
              <w:rPr>
                <w:b w:val="false"/>
                <w:bCs w:val="false"/>
                <w:sz w:val="20"/>
                <w:szCs w:val="20"/>
              </w:rPr>
              <w:t xml:space="preserve">18.18 dB</w:t>
            </w:r>
          </w:p>
        </w:tc>
        <w:tc>
          <w:tcPr>
            <w:tcW w:type="dxa" w:w="3000"/>
          </w:tcPr>
          <w:p>
            <w:r>
              <w:rPr>
                <w:b w:val="false"/>
                <w:bCs w:val="false"/>
                <w:sz w:val="20"/>
                <w:szCs w:val="20"/>
              </w:rPr>
              <w:t xml:space="preserve">&gt;20 dB typically considered acceptable</w:t>
            </w:r>
          </w:p>
        </w:tc>
      </w:tr>
    </w:tbl>
    <w:p>
      <w:pPr>
        <w:spacing w:after="200"/>
      </w:pPr>
    </w:p>
    <w:p>
      <w:pPr>
        <w:spacing w:after="160"/>
      </w:pPr>
      <w:r>
        <w:t xml:space="preserve">These results indicate partial, non-trivial structural correlation between SAR embeddings and optical appearance — not high-fidelity reconstruction. A PSNR of 18.2 dB is below the range conventionally considered good visual quality, which is an expected and honestly reported outcome given a 64-dimensional embedding, 137 training patches, and no adversarial or perceptual loss term.</w:t>
      </w:r>
    </w:p>
    <w:p>
      <w:pPr>
        <w:pStyle w:val="Heading2"/>
        <w:spacing w:after="120" w:before="240"/>
      </w:pPr>
      <w:r>
        <w:t xml:space="preserve">5.3 Failure-Mode Analysis: By GMM Cluster</w:t>
      </w:r>
    </w:p>
    <w:p>
      <w:pPr>
        <w:spacing w:after="160"/>
      </w:pPr>
      <w:r>
        <w:t xml:space="preserve">Clusters 2 (n=1) and 4 (n=0 test patches) are excluded from interpretation: with only one or zero test patches, retrieval accuracy is mechanically forced to 0% or undefined regardless of embedding quality, and probe accuracy on a single sample is not a meaningful estimate. Only clusters with n ≥ 4 are discussed.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300"/>
        <w:gridCol w:w="1300"/>
        <w:gridCol w:w="1300"/>
        <w:gridCol w:w="1000"/>
        <w:gridCol w:w="900"/>
        <w:gridCol w:w="900"/>
        <w:gridCol w:w="1100"/>
      </w:tblGrid>
      <w:tr>
        <w:tc>
          <w:tcPr>
            <w:tcW w:type="dxa" w:w="1500"/>
            <w:shd w:fill="D9E2F3" w:val="clear"/>
          </w:tcPr>
          <w:p>
            <w:r>
              <w:rPr>
                <w:b/>
                <w:bCs/>
                <w:sz w:val="20"/>
                <w:szCs w:val="20"/>
              </w:rPr>
              <w:t xml:space="preserve">Cluster</w:t>
            </w:r>
          </w:p>
        </w:tc>
        <w:tc>
          <w:tcPr>
            <w:tcW w:type="dxa" w:w="700"/>
            <w:shd w:fill="D9E2F3" w:val="clear"/>
          </w:tcPr>
          <w:p>
            <w:r>
              <w:rPr>
                <w:b/>
                <w:bCs/>
                <w:sz w:val="20"/>
                <w:szCs w:val="20"/>
              </w:rPr>
              <w:t xml:space="preserve">n</w:t>
            </w:r>
          </w:p>
        </w:tc>
        <w:tc>
          <w:tcPr>
            <w:tcW w:type="dxa" w:w="1300"/>
            <w:shd w:fill="D9E2F3" w:val="clear"/>
          </w:tcPr>
          <w:p>
            <w:r>
              <w:rPr>
                <w:b/>
                <w:bCs/>
                <w:sz w:val="20"/>
                <w:szCs w:val="20"/>
              </w:rPr>
              <w:t xml:space="preserve">Probe Acc.</w:t>
            </w:r>
          </w:p>
        </w:tc>
        <w:tc>
          <w:tcPr>
            <w:tcW w:type="dxa" w:w="1300"/>
            <w:shd w:fill="D9E2F3" w:val="clear"/>
          </w:tcPr>
          <w:p>
            <w:r>
              <w:rPr>
                <w:b/>
                <w:bCs/>
                <w:sz w:val="20"/>
                <w:szCs w:val="20"/>
              </w:rPr>
              <w:t xml:space="preserve">Retrieval</w:t>
            </w:r>
          </w:p>
        </w:tc>
        <w:tc>
          <w:tcPr>
            <w:tcW w:type="dxa" w:w="1300"/>
            <w:shd w:fill="D9E2F3" w:val="clear"/>
          </w:tcPr>
          <w:p>
            <w:r>
              <w:rPr>
                <w:b/>
                <w:bCs/>
                <w:sz w:val="20"/>
                <w:szCs w:val="20"/>
              </w:rPr>
              <w:t xml:space="preserve">Feat. MAE</w:t>
            </w:r>
          </w:p>
        </w:tc>
        <w:tc>
          <w:tcPr>
            <w:tcW w:type="dxa" w:w="1000"/>
            <w:shd w:fill="D9E2F3" w:val="clear"/>
          </w:tcPr>
          <w:p>
            <w:r>
              <w:rPr>
                <w:b/>
                <w:bCs/>
                <w:sz w:val="20"/>
                <w:szCs w:val="20"/>
              </w:rPr>
              <w:t xml:space="preserve">SSIM</w:t>
            </w:r>
          </w:p>
        </w:tc>
        <w:tc>
          <w:tcPr>
            <w:tcW w:type="dxa" w:w="900"/>
            <w:shd w:fill="D9E2F3" w:val="clear"/>
          </w:tcPr>
          <w:p>
            <w:r>
              <w:rPr>
                <w:b/>
                <w:bCs/>
                <w:sz w:val="20"/>
                <w:szCs w:val="20"/>
              </w:rPr>
              <w:t xml:space="preserve">NDVI</w:t>
            </w:r>
          </w:p>
        </w:tc>
        <w:tc>
          <w:tcPr>
            <w:tcW w:type="dxa" w:w="900"/>
            <w:shd w:fill="D9E2F3" w:val="clear"/>
          </w:tcPr>
          <w:p>
            <w:r>
              <w:rPr>
                <w:b/>
                <w:bCs/>
                <w:sz w:val="20"/>
                <w:szCs w:val="20"/>
              </w:rPr>
              <w:t xml:space="preserve">RVI</w:t>
            </w:r>
          </w:p>
        </w:tc>
        <w:tc>
          <w:tcPr>
            <w:tcW w:type="dxa" w:w="1100"/>
            <w:shd w:fill="D9E2F3" w:val="clear"/>
          </w:tcPr>
          <w:p>
            <w:r>
              <w:rPr>
                <w:b/>
                <w:bCs/>
                <w:sz w:val="20"/>
                <w:szCs w:val="20"/>
              </w:rPr>
              <w:t xml:space="preserve">Entropy</w:t>
            </w:r>
          </w:p>
        </w:tc>
      </w:tr>
      <w:tr>
        <w:tc>
          <w:tcPr>
            <w:tcW w:type="dxa" w:w="1500"/>
          </w:tcPr>
          <w:p>
            <w:r>
              <w:rPr>
                <w:b w:val="false"/>
                <w:bCs w:val="false"/>
                <w:sz w:val="20"/>
                <w:szCs w:val="20"/>
              </w:rPr>
              <w:t xml:space="preserve">1 (strongest)</w:t>
            </w:r>
          </w:p>
        </w:tc>
        <w:tc>
          <w:tcPr>
            <w:tcW w:type="dxa" w:w="700"/>
          </w:tcPr>
          <w:p>
            <w:r>
              <w:rPr>
                <w:b w:val="false"/>
                <w:bCs w:val="false"/>
                <w:sz w:val="20"/>
                <w:szCs w:val="20"/>
              </w:rPr>
              <w:t xml:space="preserve">11</w:t>
            </w:r>
          </w:p>
        </w:tc>
        <w:tc>
          <w:tcPr>
            <w:tcW w:type="dxa" w:w="1300"/>
          </w:tcPr>
          <w:p>
            <w:r>
              <w:rPr>
                <w:b w:val="false"/>
                <w:bCs w:val="false"/>
                <w:sz w:val="20"/>
                <w:szCs w:val="20"/>
              </w:rPr>
              <w:t xml:space="preserve">81.8%</w:t>
            </w:r>
          </w:p>
        </w:tc>
        <w:tc>
          <w:tcPr>
            <w:tcW w:type="dxa" w:w="1300"/>
          </w:tcPr>
          <w:p>
            <w:r>
              <w:rPr>
                <w:b w:val="false"/>
                <w:bCs w:val="false"/>
                <w:sz w:val="20"/>
                <w:szCs w:val="20"/>
              </w:rPr>
              <w:t xml:space="preserve">100.0%</w:t>
            </w:r>
          </w:p>
        </w:tc>
        <w:tc>
          <w:tcPr>
            <w:tcW w:type="dxa" w:w="1300"/>
          </w:tcPr>
          <w:p>
            <w:r>
              <w:rPr>
                <w:b w:val="false"/>
                <w:bCs w:val="false"/>
                <w:sz w:val="20"/>
                <w:szCs w:val="20"/>
              </w:rPr>
              <w:t xml:space="preserve">0.062</w:t>
            </w:r>
          </w:p>
        </w:tc>
        <w:tc>
          <w:tcPr>
            <w:tcW w:type="dxa" w:w="1000"/>
          </w:tcPr>
          <w:p>
            <w:r>
              <w:rPr>
                <w:b w:val="false"/>
                <w:bCs w:val="false"/>
                <w:sz w:val="20"/>
                <w:szCs w:val="20"/>
              </w:rPr>
              <w:t xml:space="preserve">0.573</w:t>
            </w:r>
          </w:p>
        </w:tc>
        <w:tc>
          <w:tcPr>
            <w:tcW w:type="dxa" w:w="900"/>
          </w:tcPr>
          <w:p>
            <w:r>
              <w:rPr>
                <w:b w:val="false"/>
                <w:bCs w:val="false"/>
                <w:sz w:val="20"/>
                <w:szCs w:val="20"/>
              </w:rPr>
              <w:t xml:space="preserve">0.21</w:t>
            </w:r>
          </w:p>
        </w:tc>
        <w:tc>
          <w:tcPr>
            <w:tcW w:type="dxa" w:w="900"/>
          </w:tcPr>
          <w:p>
            <w:r>
              <w:rPr>
                <w:b w:val="false"/>
                <w:bCs w:val="false"/>
                <w:sz w:val="20"/>
                <w:szCs w:val="20"/>
              </w:rPr>
              <w:t xml:space="preserve">0.48</w:t>
            </w:r>
          </w:p>
        </w:tc>
        <w:tc>
          <w:tcPr>
            <w:tcW w:type="dxa" w:w="1100"/>
          </w:tcPr>
          <w:p>
            <w:r>
              <w:rPr>
                <w:b w:val="false"/>
                <w:bCs w:val="false"/>
                <w:sz w:val="20"/>
                <w:szCs w:val="20"/>
              </w:rPr>
              <w:t xml:space="preserve">0.49</w:t>
            </w:r>
          </w:p>
        </w:tc>
      </w:tr>
      <w:tr>
        <w:tc>
          <w:tcPr>
            <w:tcW w:type="dxa" w:w="1500"/>
          </w:tcPr>
          <w:p>
            <w:r>
              <w:rPr>
                <w:b w:val="false"/>
                <w:bCs w:val="false"/>
                <w:sz w:val="20"/>
                <w:szCs w:val="20"/>
              </w:rPr>
              <w:t xml:space="preserve">5</w:t>
            </w:r>
          </w:p>
        </w:tc>
        <w:tc>
          <w:tcPr>
            <w:tcW w:type="dxa" w:w="700"/>
          </w:tcPr>
          <w:p>
            <w:r>
              <w:rPr>
                <w:b w:val="false"/>
                <w:bCs w:val="false"/>
                <w:sz w:val="20"/>
                <w:szCs w:val="20"/>
              </w:rPr>
              <w:t xml:space="preserve">10</w:t>
            </w:r>
          </w:p>
        </w:tc>
        <w:tc>
          <w:tcPr>
            <w:tcW w:type="dxa" w:w="1300"/>
          </w:tcPr>
          <w:p>
            <w:r>
              <w:rPr>
                <w:b w:val="false"/>
                <w:bCs w:val="false"/>
                <w:sz w:val="20"/>
                <w:szCs w:val="20"/>
              </w:rPr>
              <w:t xml:space="preserve">80.0%</w:t>
            </w:r>
          </w:p>
        </w:tc>
        <w:tc>
          <w:tcPr>
            <w:tcW w:type="dxa" w:w="1300"/>
          </w:tcPr>
          <w:p>
            <w:r>
              <w:rPr>
                <w:b w:val="false"/>
                <w:bCs w:val="false"/>
                <w:sz w:val="20"/>
                <w:szCs w:val="20"/>
              </w:rPr>
              <w:t xml:space="preserve">60.0%</w:t>
            </w:r>
          </w:p>
        </w:tc>
        <w:tc>
          <w:tcPr>
            <w:tcW w:type="dxa" w:w="1300"/>
          </w:tcPr>
          <w:p>
            <w:r>
              <w:rPr>
                <w:b w:val="false"/>
                <w:bCs w:val="false"/>
                <w:sz w:val="20"/>
                <w:szCs w:val="20"/>
              </w:rPr>
              <w:t xml:space="preserve">0.080</w:t>
            </w:r>
          </w:p>
        </w:tc>
        <w:tc>
          <w:tcPr>
            <w:tcW w:type="dxa" w:w="1000"/>
          </w:tcPr>
          <w:p>
            <w:r>
              <w:rPr>
                <w:b w:val="false"/>
                <w:bCs w:val="false"/>
                <w:sz w:val="20"/>
                <w:szCs w:val="20"/>
              </w:rPr>
              <w:t xml:space="preserve">0.504</w:t>
            </w:r>
          </w:p>
        </w:tc>
        <w:tc>
          <w:tcPr>
            <w:tcW w:type="dxa" w:w="900"/>
          </w:tcPr>
          <w:p>
            <w:r>
              <w:rPr>
                <w:b w:val="false"/>
                <w:bCs w:val="false"/>
                <w:sz w:val="20"/>
                <w:szCs w:val="20"/>
              </w:rPr>
              <w:t xml:space="preserve">0.63</w:t>
            </w:r>
          </w:p>
        </w:tc>
        <w:tc>
          <w:tcPr>
            <w:tcW w:type="dxa" w:w="900"/>
          </w:tcPr>
          <w:p>
            <w:r>
              <w:rPr>
                <w:b w:val="false"/>
                <w:bCs w:val="false"/>
                <w:sz w:val="20"/>
                <w:szCs w:val="20"/>
              </w:rPr>
              <w:t xml:space="preserve">0.84</w:t>
            </w:r>
          </w:p>
        </w:tc>
        <w:tc>
          <w:tcPr>
            <w:tcW w:type="dxa" w:w="1100"/>
          </w:tcPr>
          <w:p>
            <w:r>
              <w:rPr>
                <w:b w:val="false"/>
                <w:bCs w:val="false"/>
                <w:sz w:val="20"/>
                <w:szCs w:val="20"/>
              </w:rPr>
              <w:t xml:space="preserve">0.70</w:t>
            </w:r>
          </w:p>
        </w:tc>
      </w:tr>
      <w:tr>
        <w:tc>
          <w:tcPr>
            <w:tcW w:type="dxa" w:w="1500"/>
          </w:tcPr>
          <w:p>
            <w:r>
              <w:rPr>
                <w:b w:val="false"/>
                <w:bCs w:val="false"/>
                <w:sz w:val="20"/>
                <w:szCs w:val="20"/>
              </w:rPr>
              <w:t xml:space="preserve">6</w:t>
            </w:r>
          </w:p>
        </w:tc>
        <w:tc>
          <w:tcPr>
            <w:tcW w:type="dxa" w:w="700"/>
          </w:tcPr>
          <w:p>
            <w:r>
              <w:rPr>
                <w:b w:val="false"/>
                <w:bCs w:val="false"/>
                <w:sz w:val="20"/>
                <w:szCs w:val="20"/>
              </w:rPr>
              <w:t xml:space="preserve">4</w:t>
            </w:r>
          </w:p>
        </w:tc>
        <w:tc>
          <w:tcPr>
            <w:tcW w:type="dxa" w:w="1300"/>
          </w:tcPr>
          <w:p>
            <w:r>
              <w:rPr>
                <w:b w:val="false"/>
                <w:bCs w:val="false"/>
                <w:sz w:val="20"/>
                <w:szCs w:val="20"/>
              </w:rPr>
              <w:t xml:space="preserve">75.0%</w:t>
            </w:r>
          </w:p>
        </w:tc>
        <w:tc>
          <w:tcPr>
            <w:tcW w:type="dxa" w:w="1300"/>
          </w:tcPr>
          <w:p>
            <w:r>
              <w:rPr>
                <w:b w:val="false"/>
                <w:bCs w:val="false"/>
                <w:sz w:val="20"/>
                <w:szCs w:val="20"/>
              </w:rPr>
              <w:t xml:space="preserve">75.0%</w:t>
            </w:r>
          </w:p>
        </w:tc>
        <w:tc>
          <w:tcPr>
            <w:tcW w:type="dxa" w:w="1300"/>
          </w:tcPr>
          <w:p>
            <w:r>
              <w:rPr>
                <w:b w:val="false"/>
                <w:bCs w:val="false"/>
                <w:sz w:val="20"/>
                <w:szCs w:val="20"/>
              </w:rPr>
              <w:t xml:space="preserve">0.130</w:t>
            </w:r>
          </w:p>
        </w:tc>
        <w:tc>
          <w:tcPr>
            <w:tcW w:type="dxa" w:w="1000"/>
          </w:tcPr>
          <w:p>
            <w:r>
              <w:rPr>
                <w:b w:val="false"/>
                <w:bCs w:val="false"/>
                <w:sz w:val="20"/>
                <w:szCs w:val="20"/>
              </w:rPr>
              <w:t xml:space="preserve">0.354</w:t>
            </w:r>
          </w:p>
        </w:tc>
        <w:tc>
          <w:tcPr>
            <w:tcW w:type="dxa" w:w="900"/>
          </w:tcPr>
          <w:p>
            <w:r>
              <w:rPr>
                <w:b w:val="false"/>
                <w:bCs w:val="false"/>
                <w:sz w:val="20"/>
                <w:szCs w:val="20"/>
              </w:rPr>
              <w:t xml:space="preserve">0.20</w:t>
            </w:r>
          </w:p>
        </w:tc>
        <w:tc>
          <w:tcPr>
            <w:tcW w:type="dxa" w:w="900"/>
          </w:tcPr>
          <w:p>
            <w:r>
              <w:rPr>
                <w:b w:val="false"/>
                <w:bCs w:val="false"/>
                <w:sz w:val="20"/>
                <w:szCs w:val="20"/>
              </w:rPr>
              <w:t xml:space="preserve">0.82</w:t>
            </w:r>
          </w:p>
        </w:tc>
        <w:tc>
          <w:tcPr>
            <w:tcW w:type="dxa" w:w="1100"/>
          </w:tcPr>
          <w:p>
            <w:r>
              <w:rPr>
                <w:b w:val="false"/>
                <w:bCs w:val="false"/>
                <w:sz w:val="20"/>
                <w:szCs w:val="20"/>
              </w:rPr>
              <w:t xml:space="preserve">0.68</w:t>
            </w:r>
          </w:p>
        </w:tc>
      </w:tr>
      <w:tr>
        <w:tc>
          <w:tcPr>
            <w:tcW w:type="dxa" w:w="1500"/>
          </w:tcPr>
          <w:p>
            <w:r>
              <w:rPr>
                <w:b w:val="false"/>
                <w:bCs w:val="false"/>
                <w:sz w:val="20"/>
                <w:szCs w:val="20"/>
              </w:rPr>
              <w:t xml:space="preserve">0 (weakest)</w:t>
            </w:r>
          </w:p>
        </w:tc>
        <w:tc>
          <w:tcPr>
            <w:tcW w:type="dxa" w:w="700"/>
          </w:tcPr>
          <w:p>
            <w:r>
              <w:rPr>
                <w:b w:val="false"/>
                <w:bCs w:val="false"/>
                <w:sz w:val="20"/>
                <w:szCs w:val="20"/>
              </w:rPr>
              <w:t xml:space="preserve">6</w:t>
            </w:r>
          </w:p>
        </w:tc>
        <w:tc>
          <w:tcPr>
            <w:tcW w:type="dxa" w:w="1300"/>
          </w:tcPr>
          <w:p>
            <w:r>
              <w:rPr>
                <w:b w:val="false"/>
                <w:bCs w:val="false"/>
                <w:sz w:val="20"/>
                <w:szCs w:val="20"/>
              </w:rPr>
              <w:t xml:space="preserve">50.0%</w:t>
            </w:r>
          </w:p>
        </w:tc>
        <w:tc>
          <w:tcPr>
            <w:tcW w:type="dxa" w:w="1300"/>
          </w:tcPr>
          <w:p>
            <w:r>
              <w:rPr>
                <w:b w:val="false"/>
                <w:bCs w:val="false"/>
                <w:sz w:val="20"/>
                <w:szCs w:val="20"/>
              </w:rPr>
              <w:t xml:space="preserve">16.7%</w:t>
            </w:r>
          </w:p>
        </w:tc>
        <w:tc>
          <w:tcPr>
            <w:tcW w:type="dxa" w:w="1300"/>
          </w:tcPr>
          <w:p>
            <w:r>
              <w:rPr>
                <w:b w:val="false"/>
                <w:bCs w:val="false"/>
                <w:sz w:val="20"/>
                <w:szCs w:val="20"/>
              </w:rPr>
              <w:t xml:space="preserve">0.093</w:t>
            </w:r>
          </w:p>
        </w:tc>
        <w:tc>
          <w:tcPr>
            <w:tcW w:type="dxa" w:w="1000"/>
          </w:tcPr>
          <w:p>
            <w:r>
              <w:rPr>
                <w:b w:val="false"/>
                <w:bCs w:val="false"/>
                <w:sz w:val="20"/>
                <w:szCs w:val="20"/>
              </w:rPr>
              <w:t xml:space="preserve">0.486</w:t>
            </w:r>
          </w:p>
        </w:tc>
        <w:tc>
          <w:tcPr>
            <w:tcW w:type="dxa" w:w="900"/>
          </w:tcPr>
          <w:p>
            <w:r>
              <w:rPr>
                <w:b w:val="false"/>
                <w:bCs w:val="false"/>
                <w:sz w:val="20"/>
                <w:szCs w:val="20"/>
              </w:rPr>
              <w:t xml:space="preserve">0.51</w:t>
            </w:r>
          </w:p>
        </w:tc>
        <w:tc>
          <w:tcPr>
            <w:tcW w:type="dxa" w:w="900"/>
          </w:tcPr>
          <w:p>
            <w:r>
              <w:rPr>
                <w:b w:val="false"/>
                <w:bCs w:val="false"/>
                <w:sz w:val="20"/>
                <w:szCs w:val="20"/>
              </w:rPr>
              <w:t xml:space="preserve">0.67</w:t>
            </w:r>
          </w:p>
        </w:tc>
        <w:tc>
          <w:tcPr>
            <w:tcW w:type="dxa" w:w="1100"/>
          </w:tcPr>
          <w:p>
            <w:r>
              <w:rPr>
                <w:b w:val="false"/>
                <w:bCs w:val="false"/>
                <w:sz w:val="20"/>
                <w:szCs w:val="20"/>
              </w:rPr>
              <w:t xml:space="preserve">0.61</w:t>
            </w:r>
          </w:p>
        </w:tc>
      </w:tr>
    </w:tbl>
    <w:p>
      <w:pPr>
        <w:spacing w:after="200"/>
      </w:pPr>
    </w:p>
    <w:p>
      <w:pPr>
        <w:spacing w:after="160"/>
      </w:pPr>
      <w:r>
        <w:t xml:space="preserve">Cluster 0, the weakest cluster with an interpretable sample size, shows probe accuracy barely above the majority-class baseline (50% vs. 31.4%) and weak retrieval (16.7%), and is characterized by comparatively high NDVI/RVI/entropy — i.e., denser vegetation — relative to Cluster 1, the strongest cluster, which has the lowest NDVI/RVI/entropy among the sizable clusters. The pattern is suggestive but not strictly monotonic: Cluster 5 has the single highest NDVI yet only moderate (not worst) performance. With four usable clusters, this is reported as a trend consistent with a physical mechanism (Section 6), not a statistically established relationship.</w:t>
      </w:r>
    </w:p>
    <w:p>
      <w:pPr>
        <w:pStyle w:val="Heading2"/>
        <w:spacing w:after="120" w:before="240"/>
      </w:pPr>
      <w:r>
        <w:t xml:space="preserve">5.4 Failure-Mode Analysis: By Region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300"/>
        <w:gridCol w:w="1300"/>
        <w:gridCol w:w="1300"/>
        <w:gridCol w:w="1000"/>
      </w:tblGrid>
      <w:tr>
        <w:tc>
          <w:tcPr>
            <w:tcW w:type="dxa" w:w="3200"/>
            <w:shd w:fill="D9E2F3" w:val="clear"/>
          </w:tcPr>
          <w:p>
            <w:r>
              <w:rPr>
                <w:b/>
                <w:bCs/>
                <w:sz w:val="20"/>
                <w:szCs w:val="20"/>
              </w:rPr>
              <w:t xml:space="preserve">Region</w:t>
            </w:r>
          </w:p>
        </w:tc>
        <w:tc>
          <w:tcPr>
            <w:tcW w:type="dxa" w:w="700"/>
            <w:shd w:fill="D9E2F3" w:val="clear"/>
          </w:tcPr>
          <w:p>
            <w:r>
              <w:rPr>
                <w:b/>
                <w:bCs/>
                <w:sz w:val="20"/>
                <w:szCs w:val="20"/>
              </w:rPr>
              <w:t xml:space="preserve">n</w:t>
            </w:r>
          </w:p>
        </w:tc>
        <w:tc>
          <w:tcPr>
            <w:tcW w:type="dxa" w:w="1300"/>
            <w:shd w:fill="D9E2F3" w:val="clear"/>
          </w:tcPr>
          <w:p>
            <w:r>
              <w:rPr>
                <w:b/>
                <w:bCs/>
                <w:sz w:val="20"/>
                <w:szCs w:val="20"/>
              </w:rPr>
              <w:t xml:space="preserve">Probe Acc.</w:t>
            </w:r>
          </w:p>
        </w:tc>
        <w:tc>
          <w:tcPr>
            <w:tcW w:type="dxa" w:w="1300"/>
            <w:shd w:fill="D9E2F3" w:val="clear"/>
          </w:tcPr>
          <w:p>
            <w:r>
              <w:rPr>
                <w:b/>
                <w:bCs/>
                <w:sz w:val="20"/>
                <w:szCs w:val="20"/>
              </w:rPr>
              <w:t xml:space="preserve">Retrieval</w:t>
            </w:r>
          </w:p>
        </w:tc>
        <w:tc>
          <w:tcPr>
            <w:tcW w:type="dxa" w:w="1300"/>
            <w:shd w:fill="D9E2F3" w:val="clear"/>
          </w:tcPr>
          <w:p>
            <w:r>
              <w:rPr>
                <w:b/>
                <w:bCs/>
                <w:sz w:val="20"/>
                <w:szCs w:val="20"/>
              </w:rPr>
              <w:t xml:space="preserve">Feat. MAE</w:t>
            </w:r>
          </w:p>
        </w:tc>
        <w:tc>
          <w:tcPr>
            <w:tcW w:type="dxa" w:w="1000"/>
            <w:shd w:fill="D9E2F3" w:val="clear"/>
          </w:tcPr>
          <w:p>
            <w:r>
              <w:rPr>
                <w:b/>
                <w:bCs/>
                <w:sz w:val="20"/>
                <w:szCs w:val="20"/>
              </w:rPr>
              <w:t xml:space="preserve">SSIM</w:t>
            </w:r>
          </w:p>
        </w:tc>
      </w:tr>
      <w:tr>
        <w:tc>
          <w:tcPr>
            <w:tcW w:type="dxa" w:w="3200"/>
          </w:tcPr>
          <w:p>
            <w:r>
              <w:rPr>
                <w:b w:val="false"/>
                <w:bCs w:val="false"/>
                <w:sz w:val="20"/>
                <w:szCs w:val="20"/>
              </w:rPr>
              <w:t xml:space="preserve">Vidarbha (sparse/semi-arid cotton)</w:t>
            </w:r>
          </w:p>
        </w:tc>
        <w:tc>
          <w:tcPr>
            <w:tcW w:type="dxa" w:w="700"/>
          </w:tcPr>
          <w:p>
            <w:r>
              <w:rPr>
                <w:b w:val="false"/>
                <w:bCs w:val="false"/>
                <w:sz w:val="20"/>
                <w:szCs w:val="20"/>
              </w:rPr>
              <w:t xml:space="preserve">14</w:t>
            </w:r>
          </w:p>
        </w:tc>
        <w:tc>
          <w:tcPr>
            <w:tcW w:type="dxa" w:w="1300"/>
          </w:tcPr>
          <w:p>
            <w:r>
              <w:rPr>
                <w:b w:val="false"/>
                <w:bCs w:val="false"/>
                <w:sz w:val="20"/>
                <w:szCs w:val="20"/>
              </w:rPr>
              <w:t xml:space="preserve">71.4%</w:t>
            </w:r>
          </w:p>
        </w:tc>
        <w:tc>
          <w:tcPr>
            <w:tcW w:type="dxa" w:w="1300"/>
          </w:tcPr>
          <w:p>
            <w:r>
              <w:rPr>
                <w:b w:val="false"/>
                <w:bCs w:val="false"/>
                <w:sz w:val="20"/>
                <w:szCs w:val="20"/>
              </w:rPr>
              <w:t xml:space="preserve">64.3%</w:t>
            </w:r>
          </w:p>
        </w:tc>
        <w:tc>
          <w:tcPr>
            <w:tcW w:type="dxa" w:w="1300"/>
          </w:tcPr>
          <w:p>
            <w:r>
              <w:rPr>
                <w:b w:val="false"/>
                <w:bCs w:val="false"/>
                <w:sz w:val="20"/>
                <w:szCs w:val="20"/>
              </w:rPr>
              <w:t xml:space="preserve">0.065</w:t>
            </w:r>
          </w:p>
        </w:tc>
        <w:tc>
          <w:tcPr>
            <w:tcW w:type="dxa" w:w="1000"/>
          </w:tcPr>
          <w:p>
            <w:r>
              <w:rPr>
                <w:b w:val="false"/>
                <w:bCs w:val="false"/>
                <w:sz w:val="20"/>
                <w:szCs w:val="20"/>
              </w:rPr>
              <w:t xml:space="preserve">0.633</w:t>
            </w:r>
          </w:p>
        </w:tc>
      </w:tr>
      <w:tr>
        <w:tc>
          <w:tcPr>
            <w:tcW w:type="dxa" w:w="3200"/>
          </w:tcPr>
          <w:p>
            <w:r>
              <w:rPr>
                <w:b w:val="false"/>
                <w:bCs w:val="false"/>
                <w:sz w:val="20"/>
                <w:szCs w:val="20"/>
              </w:rPr>
              <w:t xml:space="preserve">Punjab (dense wheat/rice)</w:t>
            </w:r>
          </w:p>
        </w:tc>
        <w:tc>
          <w:tcPr>
            <w:tcW w:type="dxa" w:w="700"/>
          </w:tcPr>
          <w:p>
            <w:r>
              <w:rPr>
                <w:b w:val="false"/>
                <w:bCs w:val="false"/>
                <w:sz w:val="20"/>
                <w:szCs w:val="20"/>
              </w:rPr>
              <w:t xml:space="preserve">13</w:t>
            </w:r>
          </w:p>
        </w:tc>
        <w:tc>
          <w:tcPr>
            <w:tcW w:type="dxa" w:w="1300"/>
          </w:tcPr>
          <w:p>
            <w:r>
              <w:rPr>
                <w:b w:val="false"/>
                <w:bCs w:val="false"/>
                <w:sz w:val="20"/>
                <w:szCs w:val="20"/>
              </w:rPr>
              <w:t xml:space="preserve">76.9%</w:t>
            </w:r>
          </w:p>
        </w:tc>
        <w:tc>
          <w:tcPr>
            <w:tcW w:type="dxa" w:w="1300"/>
          </w:tcPr>
          <w:p>
            <w:r>
              <w:rPr>
                <w:b w:val="false"/>
                <w:bCs w:val="false"/>
                <w:sz w:val="20"/>
                <w:szCs w:val="20"/>
              </w:rPr>
              <w:t xml:space="preserve">69.2%</w:t>
            </w:r>
          </w:p>
        </w:tc>
        <w:tc>
          <w:tcPr>
            <w:tcW w:type="dxa" w:w="1300"/>
          </w:tcPr>
          <w:p>
            <w:r>
              <w:rPr>
                <w:b w:val="false"/>
                <w:bCs w:val="false"/>
                <w:sz w:val="20"/>
                <w:szCs w:val="20"/>
              </w:rPr>
              <w:t xml:space="preserve">0.085</w:t>
            </w:r>
          </w:p>
        </w:tc>
        <w:tc>
          <w:tcPr>
            <w:tcW w:type="dxa" w:w="1000"/>
          </w:tcPr>
          <w:p>
            <w:r>
              <w:rPr>
                <w:b w:val="false"/>
                <w:bCs w:val="false"/>
                <w:sz w:val="20"/>
                <w:szCs w:val="20"/>
              </w:rPr>
              <w:t xml:space="preserve">0.426</w:t>
            </w:r>
          </w:p>
        </w:tc>
      </w:tr>
      <w:tr>
        <w:tc>
          <w:tcPr>
            <w:tcW w:type="dxa" w:w="3200"/>
          </w:tcPr>
          <w:p>
            <w:r>
              <w:rPr>
                <w:b w:val="false"/>
                <w:bCs w:val="false"/>
                <w:sz w:val="20"/>
                <w:szCs w:val="20"/>
              </w:rPr>
              <w:t xml:space="preserve">Kerala backwaters (tropical wet, cloudy)</w:t>
            </w:r>
          </w:p>
        </w:tc>
        <w:tc>
          <w:tcPr>
            <w:tcW w:type="dxa" w:w="700"/>
          </w:tcPr>
          <w:p>
            <w:r>
              <w:rPr>
                <w:b w:val="false"/>
                <w:bCs w:val="false"/>
                <w:sz w:val="20"/>
                <w:szCs w:val="20"/>
              </w:rPr>
              <w:t xml:space="preserve">5</w:t>
            </w:r>
          </w:p>
        </w:tc>
        <w:tc>
          <w:tcPr>
            <w:tcW w:type="dxa" w:w="1300"/>
          </w:tcPr>
          <w:p>
            <w:r>
              <w:rPr>
                <w:b w:val="false"/>
                <w:bCs w:val="false"/>
                <w:sz w:val="20"/>
                <w:szCs w:val="20"/>
              </w:rPr>
              <w:t xml:space="preserve">80.0%</w:t>
            </w:r>
          </w:p>
        </w:tc>
        <w:tc>
          <w:tcPr>
            <w:tcW w:type="dxa" w:w="1300"/>
          </w:tcPr>
          <w:p>
            <w:r>
              <w:rPr>
                <w:b w:val="false"/>
                <w:bCs w:val="false"/>
                <w:sz w:val="20"/>
                <w:szCs w:val="20"/>
              </w:rPr>
              <w:t xml:space="preserve">60.0%</w:t>
            </w:r>
          </w:p>
        </w:tc>
        <w:tc>
          <w:tcPr>
            <w:tcW w:type="dxa" w:w="1300"/>
          </w:tcPr>
          <w:p>
            <w:r>
              <w:rPr>
                <w:b w:val="false"/>
                <w:bCs w:val="false"/>
                <w:sz w:val="20"/>
                <w:szCs w:val="20"/>
              </w:rPr>
              <w:t xml:space="preserve">0.208</w:t>
            </w:r>
          </w:p>
        </w:tc>
        <w:tc>
          <w:tcPr>
            <w:tcW w:type="dxa" w:w="1000"/>
          </w:tcPr>
          <w:p>
            <w:r>
              <w:rPr>
                <w:b w:val="false"/>
                <w:bCs w:val="false"/>
                <w:sz w:val="20"/>
                <w:szCs w:val="20"/>
              </w:rPr>
              <w:t xml:space="preserve">0.505</w:t>
            </w:r>
          </w:p>
        </w:tc>
      </w:tr>
      <w:tr>
        <w:tc>
          <w:tcPr>
            <w:tcW w:type="dxa" w:w="3200"/>
          </w:tcPr>
          <w:p>
            <w:r>
              <w:rPr>
                <w:b w:val="false"/>
                <w:bCs w:val="false"/>
                <w:sz w:val="20"/>
                <w:szCs w:val="20"/>
              </w:rPr>
              <w:t xml:space="preserve">Krishna-Godavari (flooded paddy)</w:t>
            </w:r>
          </w:p>
        </w:tc>
        <w:tc>
          <w:tcPr>
            <w:tcW w:type="dxa" w:w="700"/>
          </w:tcPr>
          <w:p>
            <w:r>
              <w:rPr>
                <w:b w:val="false"/>
                <w:bCs w:val="false"/>
                <w:sz w:val="20"/>
                <w:szCs w:val="20"/>
              </w:rPr>
              <w:t xml:space="preserve">3</w:t>
            </w:r>
          </w:p>
        </w:tc>
        <w:tc>
          <w:tcPr>
            <w:tcW w:type="dxa" w:w="1300"/>
          </w:tcPr>
          <w:p>
            <w:r>
              <w:rPr>
                <w:b w:val="false"/>
                <w:bCs w:val="false"/>
                <w:sz w:val="20"/>
                <w:szCs w:val="20"/>
              </w:rPr>
              <w:t xml:space="preserve">66.7%</w:t>
            </w:r>
          </w:p>
        </w:tc>
        <w:tc>
          <w:tcPr>
            <w:tcW w:type="dxa" w:w="1300"/>
          </w:tcPr>
          <w:p>
            <w:r>
              <w:rPr>
                <w:b w:val="false"/>
                <w:bCs w:val="false"/>
                <w:sz w:val="20"/>
                <w:szCs w:val="20"/>
              </w:rPr>
              <w:t xml:space="preserve">100.0%</w:t>
            </w:r>
          </w:p>
        </w:tc>
        <w:tc>
          <w:tcPr>
            <w:tcW w:type="dxa" w:w="1300"/>
          </w:tcPr>
          <w:p>
            <w:r>
              <w:rPr>
                <w:b w:val="false"/>
                <w:bCs w:val="false"/>
                <w:sz w:val="20"/>
                <w:szCs w:val="20"/>
              </w:rPr>
              <w:t xml:space="preserve">0.150</w:t>
            </w:r>
          </w:p>
        </w:tc>
        <w:tc>
          <w:tcPr>
            <w:tcW w:type="dxa" w:w="1000"/>
          </w:tcPr>
          <w:p>
            <w:r>
              <w:rPr>
                <w:b w:val="false"/>
                <w:bCs w:val="false"/>
                <w:sz w:val="20"/>
                <w:szCs w:val="20"/>
              </w:rPr>
              <w:t xml:space="preserve">0.326</w:t>
            </w:r>
          </w:p>
        </w:tc>
      </w:tr>
    </w:tbl>
    <w:p>
      <w:pPr>
        <w:spacing w:after="200"/>
      </w:pPr>
    </w:p>
    <w:p>
      <w:pPr>
        <w:spacing w:after="160"/>
      </w:pPr>
      <w:r>
        <w:t xml:space="preserve">Vidarbha, the sparsest-canopy region, has the best reconstruction fidelity (lowest feature MAE, highest SSIM). Kerala backwaters, the most cloud-affected and moisture-heavy region, has the worst feature MAE. Krishna-Godavari, the flooded-paddy region, has the worst image SSIM despite strong retrieval — suggesting cluster identity remains recoverable even where pixel-level reconstruction is physically harder, plausibly due to double-bounce scattering effects in flooded fields. Krishna-Godavari's n=3 makes this specific figure the least statistically reliable in the table.</w:t>
      </w:r>
    </w:p>
    <w:p>
      <w:pPr>
        <w:pStyle w:val="Heading1"/>
        <w:spacing w:after="150" w:before="320"/>
      </w:pPr>
      <w:r>
        <w:t xml:space="preserve">6. Discussion: Physical Interpretation</w:t>
      </w:r>
    </w:p>
    <w:p>
      <w:pPr>
        <w:spacing w:after="160"/>
      </w:pPr>
      <w:r>
        <w:t xml:space="preserve">Three findings recur across the cluster- and region-level breakdowns, and each has a plausible physical explanation grounded in SAR sensing principles:</w:t>
      </w:r>
    </w:p>
    <w:p>
      <w:pPr>
        <w:pStyle w:val="ListParagraph"/>
        <w:numPr>
          <w:ilvl w:val="0"/>
          <w:numId w:val="1"/>
        </w:numPr>
        <w:spacing w:after="100"/>
      </w:pPr>
      <w:r>
        <w:t xml:space="preserve">Denser-canopy conditions correlate with weaker probe/retrieval performance (Cluster 0 vs. Cluster 1). This is consistent with SAR backscatter saturation: as canopy closes, radar backscatter becomes less sensitive to further increases in biomass or structural variation, reducing the SAR signal's ability to discriminate between different vegetation states — and therefore its correlation with optical descriptors that remain sensitive in that range.</w:t>
      </w:r>
    </w:p>
    <w:p>
      <w:pPr>
        <w:pStyle w:val="ListParagraph"/>
        <w:numPr>
          <w:ilvl w:val="0"/>
          <w:numId w:val="1"/>
        </w:numPr>
        <w:spacing w:after="100"/>
      </w:pPr>
      <w:r>
        <w:t xml:space="preserve">Reconstruction fidelity is worst in the cloud-prone, high-moisture Kerala region. This is consistent with two compounding factors: cloud-driven gaps forcing looser SAR–optical acquisition-date matching (more temporal mismatch between the two sensors' observations), and soil-moisture-driven backscatter variability that is not directly tied to vegetation state, adding noise uncorrelated with the optical signal.</w:t>
      </w:r>
    </w:p>
    <w:p>
      <w:pPr>
        <w:pStyle w:val="ListParagraph"/>
        <w:numPr>
          <w:ilvl w:val="0"/>
          <w:numId w:val="1"/>
        </w:numPr>
        <w:spacing w:after="100"/>
      </w:pPr>
      <w:r>
        <w:t xml:space="preserve">Flooded-paddy patches (Krishna-Godavari) show strong classification-level retrieval but weak pixel-level image reconstruction. This is consistent with flooded fields producing a highly distinctive but structurally complex backscatter signature (specular water surface plus double-bounce scattering from partially submerged vegetation) — distinctive enough to separate this land-cover class cleanly in embedding space, but complex enough that a simple deconvolutional decoder struggles to reconstruct fine-grained optical appearance from it.</w:t>
      </w:r>
    </w:p>
    <w:p>
      <w:pPr>
        <w:spacing w:after="160"/>
      </w:pPr>
      <w:r>
        <w:t xml:space="preserve">Together, these support a coherent thesis-level claim: SAR-optical correlation, and a learned representation's ability to capture it, is not uniform across land-cover conditions — it degrades under canopy saturation, atmospheric/moisture noise, and complex scattering geometries, in ways that are physically explainable rather than arbitrary.</w:t>
      </w:r>
    </w:p>
    <w:p>
      <w:pPr>
        <w:pStyle w:val="Heading1"/>
        <w:spacing w:after="150" w:before="320"/>
      </w:pPr>
      <w:r>
        <w:t xml:space="preserve">7. Methodological Transparency Note</w:t>
      </w:r>
    </w:p>
    <w:p>
      <w:pPr>
        <w:spacing w:after="160"/>
      </w:pPr>
      <w:r>
        <w:t xml:space="preserve">An earlier version of this evaluation reported substantially stronger numbers (e.g., 90%+ retrieval accuracy, 52 dB PSNR). Those results were found to be artifacts of methodological errors: evaluating on the same data used for training (no held-out split), a data-loading bug that could misalign SAR/optical/label triplets across region boundaries, and a bug causing the feature decoder to train against an all-zero target vector due to a column-matching failure. All three were identified and corrected; every result in Section 5 reflects the corrected, properly held-out pipeline. This is disclosed here deliberately, both for transparency and as a methodological caution: superficially strong cross-modal results should be checked against a genuine held-out evaluation before being trusted.</w:t>
      </w:r>
    </w:p>
    <w:p>
      <w:pPr>
        <w:pStyle w:val="Heading1"/>
        <w:spacing w:after="150" w:before="320"/>
      </w:pPr>
      <w:r>
        <w:t xml:space="preserve">8. Limitations &amp; Threats to Validity</w:t>
      </w:r>
    </w:p>
    <w:p>
      <w:pPr>
        <w:pStyle w:val="ListParagraph"/>
        <w:numPr>
          <w:ilvl w:val="0"/>
          <w:numId w:val="1"/>
        </w:numPr>
        <w:spacing w:after="100"/>
      </w:pPr>
      <w:r>
        <w:t xml:space="preserve">Small dataset: 172 total patches (137 train / 35 test in the reference split) is small for deep learning claims; per-cluster and per-region groups are smaller still (some n &lt; 5), so Sections 5.3–5.4 should be read as suggestive case studies.</w:t>
      </w:r>
    </w:p>
    <w:p>
      <w:pPr>
        <w:pStyle w:val="ListParagraph"/>
        <w:numPr>
          <w:ilvl w:val="0"/>
          <w:numId w:val="1"/>
        </w:numPr>
        <w:spacing w:after="100"/>
      </w:pPr>
      <w:r>
        <w:t xml:space="preserve">Residual GMM leakage: GMM clustering was fit on the full 172-patch dataset, including what later became each split's test patches, before any split existed. Milder than the corrected bugs in Section 7 (GMM is unsupervised), but disclosed for completeness.</w:t>
      </w:r>
    </w:p>
    <w:p>
      <w:pPr>
        <w:pStyle w:val="ListParagraph"/>
        <w:numPr>
          <w:ilvl w:val="0"/>
          <w:numId w:val="1"/>
        </w:numPr>
        <w:spacing w:after="100"/>
      </w:pPr>
      <w:r>
        <w:t xml:space="preserve">Physical Feature Decoder circularity: the descriptors predicted in Stage 8 are the same descriptors used to derive the GMM pseudo-labels that shaped the SupCon embedding space — this result is better read as a consistency check with the training signal than fully independent evidence of biophysical fidelity.</w:t>
      </w:r>
    </w:p>
    <w:p>
      <w:pPr>
        <w:pStyle w:val="ListParagraph"/>
        <w:numPr>
          <w:ilvl w:val="0"/>
          <w:numId w:val="1"/>
        </w:numPr>
        <w:spacing w:after="100"/>
      </w:pPr>
      <w:r>
        <w:t xml:space="preserve">Entropy proxy simplification: a dual-pol power-ratio approximation, not the rigorous polarimetric entropy decomposition (Section 2.1).</w:t>
      </w:r>
    </w:p>
    <w:p>
      <w:pPr>
        <w:pStyle w:val="ListParagraph"/>
        <w:numPr>
          <w:ilvl w:val="0"/>
          <w:numId w:val="1"/>
        </w:numPr>
        <w:spacing w:after="100"/>
      </w:pPr>
      <w:r>
        <w:t xml:space="preserve">Residual train/test generalization gap: despite an ImageNet-pretrained backbone, some gap between train- and test-split clustering quality remains, indicating residual overfitting risk given the dataset size.</w:t>
      </w:r>
    </w:p>
    <w:p>
      <w:pPr>
        <w:pStyle w:val="ListParagraph"/>
        <w:numPr>
          <w:ilvl w:val="0"/>
          <w:numId w:val="1"/>
        </w:numPr>
        <w:spacing w:after="100"/>
      </w:pPr>
      <w:r>
        <w:t xml:space="preserve">Decoders and failure-mode analysis were run on a single reference split, not averaged across the 3 seeds used in Section 5.1 — the specific failure-mode numbers in Sections 5.3–5.4 carry single-split sampling variance on top of the small group sizes already noted.</w:t>
      </w:r>
    </w:p>
    <w:p>
      <w:pPr>
        <w:pStyle w:val="ListParagraph"/>
        <w:numPr>
          <w:ilvl w:val="0"/>
          <w:numId w:val="1"/>
        </w:numPr>
        <w:spacing w:after="100"/>
      </w:pPr>
      <w:r>
        <w:t xml:space="preserve">A formal comparison against the original hand-crafted-descriptor (RF/XGBoost) NDVI regression baseline, and a formal Canonical Correlation Analysis (CCA) between SAR and optical descriptor/embedding spaces, are outstanding integration items — partial baseline artifacts exist in the project (stage3_baseline_metrics.csv) but were not reviewed or incorporated into this draft.</w:t>
      </w:r>
    </w:p>
    <w:p>
      <w:pPr>
        <w:pStyle w:val="Heading1"/>
        <w:spacing w:after="150" w:before="320"/>
      </w:pPr>
      <w:r>
        <w:t xml:space="preserve">9. Conclusion</w:t>
      </w:r>
    </w:p>
    <w:p>
      <w:pPr>
        <w:spacing w:after="160"/>
      </w:pPr>
      <w:r>
        <w:t xml:space="preserve">This work developed and validated a dual-encoder, SupCon-trained representation-learning pipeline for SAR-optical Earth observation, evaluated correctly on held-out test data and confirmed stable across three independent random splits. The learned representation captures real, reproducible, above-baseline land-cover structure from SAR alone, and downstream generative decoders show modest but genuine cross-modal structural correlation. Most importantly for this thesis's stated objective, a per-cluster and per-region breakdown reveals that this correlation is not uniform: it weakens under dense-canopy backscatter saturation, cloud/moisture-driven noise, and complex flooded-field scattering geometries — a physically grounded account of when and why SAR can, and cannot, substitute for optical observation.</w:t>
      </w:r>
    </w:p>
    <w:p>
      <w:pPr>
        <w:pStyle w:val="Heading1"/>
        <w:spacing w:after="150" w:before="320"/>
      </w:pPr>
      <w:r>
        <w:t xml:space="preserve">10. Future Work</w:t>
      </w:r>
    </w:p>
    <w:p>
      <w:pPr>
        <w:pStyle w:val="ListParagraph"/>
        <w:numPr>
          <w:ilvl w:val="0"/>
          <w:numId w:val="1"/>
        </w:numPr>
        <w:spacing w:after="100"/>
      </w:pPr>
      <w:r>
        <w:t xml:space="preserve">Incorporate the existing hand-crafted-descriptor baseline (stage3_baseline_metrics.csv) into a direct, quantified comparison against the learned-embedding results.</w:t>
      </w:r>
    </w:p>
    <w:p>
      <w:pPr>
        <w:pStyle w:val="ListParagraph"/>
        <w:numPr>
          <w:ilvl w:val="0"/>
          <w:numId w:val="1"/>
        </w:numPr>
        <w:spacing w:after="100"/>
      </w:pPr>
      <w:r>
        <w:t xml:space="preserve">Run a formal Canonical Correlation Analysis between SAR and optical descriptor/embedding spaces, per cluster, to quantify shared variance beyond the group-mean comparisons in Section 5.3–5.4.</w:t>
      </w:r>
    </w:p>
    <w:p>
      <w:pPr>
        <w:pStyle w:val="ListParagraph"/>
        <w:numPr>
          <w:ilvl w:val="0"/>
          <w:numId w:val="1"/>
        </w:numPr>
        <w:spacing w:after="100"/>
      </w:pPr>
      <w:r>
        <w:t xml:space="preserve">Extend the failure-mode analysis across all 3 multi-seed splits to distinguish genuine physical patterns from single-split sampling noise.</w:t>
      </w:r>
    </w:p>
    <w:p>
      <w:pPr>
        <w:pStyle w:val="ListParagraph"/>
        <w:numPr>
          <w:ilvl w:val="0"/>
          <w:numId w:val="1"/>
        </w:numPr>
        <w:spacing w:after="100"/>
      </w:pPr>
      <w:r>
        <w:t xml:space="preserve">Expand the dataset — more patches per region and additional regions — to raise per-cluster sample sizes above the interpretability threshold used in this draft (n ≥ 10 as a target, vs. several groups with n &lt; 5 here).</w:t>
      </w:r>
    </w:p>
    <w:p>
      <w:pPr>
        <w:pStyle w:val="ListParagraph"/>
        <w:numPr>
          <w:ilvl w:val="0"/>
          <w:numId w:val="1"/>
        </w:numPr>
        <w:spacing w:after="100"/>
      </w:pPr>
      <w:r>
        <w:t xml:space="preserve">Where feasible, obtain quad-pol or SLC SAR data to replace the entropy proxy with rigorous Cloude–Pottier polarimetric decomposition.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2026-08-01T20:58:48.248Z</dcterms:created>
  <dcterms:modified xsi:type="dcterms:W3CDTF">2026-08-01T20:58:48.267Z</dcterms:modified>
</cp:coreProperties>
</file>

<file path=docProps/custom.xml><?xml version="1.0" encoding="utf-8"?>
<Properties xmlns="http://schemas.openxmlformats.org/officeDocument/2006/custom-properties" xmlns:vt="http://schemas.openxmlformats.org/officeDocument/2006/docPropsVTypes"/>
</file>