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Cluster-Aware Cross-Modal Representation Learning for SAR–Optical Earth Observation: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A Comparative Study with CCA Validation and Physics-Grounded Failure Analysis</w:t>
      </w:r>
    </w:p>
    <w:p>
      <w:pPr>
        <w:spacing w:after="160"/>
      </w:pPr>
      <w:r>
        <w:rPr>
          <w:b/>
          <w:bCs/>
        </w:rPr>
        <w:t xml:space="preserve">Author: Mohammed Kaamraan Ahmed</w:t>
      </w:r>
    </w:p>
    <w:p>
      <w:pPr>
        <w:spacing w:after="160"/>
      </w:pPr>
      <w:r>
        <w:rPr>
          <w:b/>
          <w:bCs/>
        </w:rPr>
        <w:t xml:space="preserve">Institution: Indian Institute of Information Technology, Sri City (IIITS)</w:t>
      </w:r>
    </w:p>
    <w:p>
      <w:pPr>
        <w:spacing w:after="160"/>
      </w:pPr>
      <w:r>
        <w:rPr>
          <w:i/>
          <w:iCs/>
        </w:rPr>
        <w:t xml:space="preserve">Status: Complete draft — representation learning, multi-seed validation, Canonical Correlation Analysis, and direct baseline comparison are all implemented and evaluated.</w:t>
      </w:r>
    </w:p>
    <w:p>
      <w:pPr>
        <w:pStyle w:val="Heading1"/>
        <w:spacing w:after="150" w:before="320"/>
      </w:pPr>
      <w:r>
        <w:t xml:space="preserve">Abstract</w:t>
      </w:r>
    </w:p>
    <w:p>
      <w:pPr>
        <w:spacing w:after="160"/>
      </w:pPr>
      <w:r>
        <w:t xml:space="preserve">Optical satellite sensors provide detailed spectral information for land-cover monitoring but are frequently obscured by cloud cover. Active Synthetic Aperture Radar (SAR) penetrates atmospheric obstacles but produces backscatter signals structurally very different from optical reflectance. This work develops a dual-encoder representation-learning framework mapping co-registered Sentinel-1/Sentinel-2 patches, sampled across four physically diverse Indian agricultural regions, into a shared latent space trained with Supervised Contrastive Loss (SupCon).</w:t>
      </w:r>
    </w:p>
    <w:p>
      <w:pPr>
        <w:spacing w:after="160"/>
      </w:pPr>
      <w:r>
        <w:t xml:space="preserve">Across three independent random splits, downstream probes classify GMM land-cover labels from SAR embeddings at 68.6–71.4% mean accuracy against a 31.4% majority-class baseline; cross-modal retrieval achieves 87.6% ± 1.3% Top-5 accuracy. A Canonical Correlation Analysis (CCA), validated against a permutation-test null baseline to rule out dimensionality-driven artifacts, confirms genuine shared variance between SAR and optical data overall (gap over null = 0.58 at the descriptor level, 0.62 at the embedding level) and identifies specific land-cover clusters where this correlation is statistically indistinguishable from noise.</w:t>
      </w:r>
    </w:p>
    <w:p>
      <w:pPr>
        <w:spacing w:after="160"/>
      </w:pPr>
      <w:r>
        <w:t xml:space="preserve">A direct comparison against the original hand-crafted-descriptor RF/XGBoost baseline, evaluated on the identical held-out test patches, shows that representation learning does NOT uniformly outperform simpler methods: the learned embedding wins in 3 of 5 evaluable clusters and loses in 2, and even in aggregate, it achieves lower Mean Absolute Error (0.111 vs. 0.119) but worse R² (0.62 vs. 0.69) than the simplest baseline. Critically, the clusters where representation learning fails (Cluster 0) and succeeds (Cluster 1) are independently confirmed by three separate analyses — CCA, downstream probing/retrieval, and direct regression comparison — converging on a physically coherent explanation: correlation weakens under dense-canopy backscatter saturation and strengthens in sparser, more SAR-transparent conditions. This thesis's core contribution is this conditional, cluster-aware account of when cross-modal representation learning helps and when it does not, rather than a single aggregate accuracy claim.</w:t>
      </w:r>
    </w:p>
    <w:p>
      <w:pPr>
        <w:pStyle w:val="Heading1"/>
        <w:spacing w:after="150" w:before="320"/>
      </w:pPr>
      <w:r>
        <w:t xml:space="preserve">1. Problem Statement</w:t>
      </w:r>
    </w:p>
    <w:p>
      <w:pPr>
        <w:spacing w:after="160"/>
      </w:pPr>
      <w:r>
        <w:t xml:space="preserve">Existing SAR-optical studies largely focus on maximizing prediction accuracy with new models, rarely asking how the cross-modal relationship changes across land-cover conditions or why representation learning helps in some regimes and not others. This thesis addresses that gap directly, using Canonical Correlation Analysis and a controlled baseline comparison — not just downstream task accuracy — to characterize where SAR-optical correlation is real and where it is not.</w:t>
      </w:r>
    </w:p>
    <w:p>
      <w:pPr>
        <w:pStyle w:val="Heading1"/>
        <w:spacing w:after="150" w:before="320"/>
      </w:pPr>
      <w:r>
        <w:t xml:space="preserve">2. Dataset</w:t>
      </w:r>
    </w:p>
    <w:p>
      <w:pPr>
        <w:spacing w:after="160"/>
      </w:pPr>
      <w:r>
        <w:t xml:space="preserve">172 co-registered SAR–optical patches across four diverse Indian agricultural regions: Punjab (dense wheat/rice), Krishna-Godavari Delta (flooded paddy), Vidarbha (sparse/semi-arid cotton), Kerala backwaters (tropical wet, high cloud). Split 80/20 (137 train / 35 test), stratified by GMM cluster (K=7).</w:t>
      </w:r>
    </w:p>
    <w:p>
      <w:pPr>
        <w:pStyle w:val="Heading1"/>
        <w:spacing w:after="150" w:before="320"/>
      </w:pPr>
      <w:r>
        <w:t xml:space="preserve">3. Methodology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Stages 1–3: Band math (NDVI, NDWI, EVI, RVI, VH/VV ratio, entropy proxy) + GMM pseudo-labeling.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Stage 4: Dual ResNet-18 encoders (ImageNet-pretrained layer1–4, re-initialized conv1), SupCon training (τ=0.07), 64-dim L2-normalized projection space.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Stage 5–6: Embedding evaluation, downstream probing/retrieval on held-out test patches.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Stage 8: Physical Feature Decoder (MLP) predicting 5 descriptors from frozen SAR embeddings, train-split only.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NEW — Canonical Correlation Analysis: run at both the raw-descriptor level (SAR: VV, VH, VH/VV, RVI, entropy vs. Optical: B2-B8, NDVI, NDWI, EVI) and the learned-embedding level (separate SAR/optical projection vectors), overall and per cluster. Embedding-level CCA required PCA dimensionality reduction (64 dims down to ~n_samples/5) to avoid a known CCA failure mode where high dimensionality relative to sample size produces spuriously perfect correlations; every result is validated against a 200-iteration permutation-shuffled null baseline, and only reported as real when it exceeds that null by a meaningful margin.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NEW — Baseline comparison: RF/XGBoost fit on the SAME train split and evaluated on the SAME held-out test split as the embedding pipeline, predicting NDVI from hand-crafted SAR descriptors, then compared directly against the NDVI-specific component of the Stage 8 decoder's output on the identical test patches.</w:t>
      </w:r>
    </w:p>
    <w:p>
      <w:pPr>
        <w:pStyle w:val="Heading1"/>
        <w:spacing w:after="150" w:before="320"/>
      </w:pPr>
      <w:r>
        <w:t xml:space="preserve">4. Results</w:t>
      </w:r>
    </w:p>
    <w:p>
      <w:pPr>
        <w:pStyle w:val="Heading2"/>
        <w:spacing w:after="120" w:before="240"/>
      </w:pPr>
      <w:r>
        <w:t xml:space="preserve">4.1 Multi-Seed Representation Learning (3 seeds: 42, 1, 7)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Std Dev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Probe Accuracy (RBF SVM)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71.43%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6.17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Top-5 Retrieval Accuracy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87.62%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1.35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 Reciprocal Rank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0.03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Baselines: random = 14.3% (7 classes), majority-class = 31.4%. All probe accuracies remain well above baseline across every seed.</w:t>
      </w:r>
    </w:p>
    <w:p>
      <w:pPr>
        <w:pStyle w:val="Heading2"/>
        <w:spacing w:after="120" w:before="240"/>
      </w:pPr>
      <w:r>
        <w:t xml:space="preserve">4.2 Canonical Correlation Analysis</w:t>
      </w:r>
    </w:p>
    <w:p>
      <w:pPr>
        <w:spacing w:after="160"/>
      </w:pPr>
      <w:r>
        <w:t xml:space="preserve">Every CCA result below is reported as the gap between the observed canonical correlation and a permutation-shuffled null baseline (200 shuffles) — a gap under ~0.15 is not distinguishable from a dimensionality/sample-size artifact and is marked SUSPECT rather than treated as a finding.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800"/>
        <w:gridCol w:w="140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Descriptor-Level Gap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Embedding-Level Gap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0.579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0.619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 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0.092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SUSPECT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0.023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SUSPECT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 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0.297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0.235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 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0.217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0.080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SUSPECT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 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0.069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SUSPECT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0.200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Overall SAR-optical correlation is confirmed real at both levels. Cluster 0 shows NO detectable correlation at either the raw-descriptor or learned-embedding level — the first of three independent confirmations of this cluster's failure (see Section 4.4). Cluster 1 shows real correlation at both levels — the first of three independent confirmations of this cluster's success. Clusters 5 and 6 show a real signal at only one of the two levels, a genuine and reported nuance rather than a forced clean pattern.</w:t>
      </w:r>
    </w:p>
    <w:p>
      <w:pPr>
        <w:pStyle w:val="Heading2"/>
        <w:spacing w:after="120" w:before="240"/>
      </w:pPr>
      <w:r>
        <w:t xml:space="preserve">4.3 Baseline Comparison: Hand-Crafted Descriptors vs. Learned Embedding</w:t>
      </w:r>
    </w:p>
    <w:p>
      <w:pPr>
        <w:spacing w:after="160"/>
      </w:pPr>
      <w:r>
        <w:t xml:space="preserve">Both methods predict NDVI_mean; both are fit on the identical 137-patch train split and evaluated on the identical 35-patch held-out test split.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750"/>
        <w:gridCol w:w="1750"/>
      </w:tblGrid>
      <w:tr>
        <w:tc>
          <w:tcPr>
            <w:tcW w:type="dxa" w:w="4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R²</w:t>
            </w:r>
          </w:p>
        </w:tc>
        <w:tc>
          <w:tcPr>
            <w:tcW w:type="dxa" w:w="175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RMSE</w:t>
            </w:r>
          </w:p>
        </w:tc>
        <w:tc>
          <w:tcPr>
            <w:tcW w:type="dxa" w:w="175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MAE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Hand-crafted RF baseline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0.685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0.1684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0.1187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Hand-crafted XGBoost baseline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0.656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0.1759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0.1229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Learned SAR embedding decoder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0.623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0.1841</w:t>
            </w:r>
          </w:p>
        </w:tc>
        <w:tc>
          <w:tcPr>
            <w:tcW w:type="dxa" w:w="17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0.1107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 embedding achieves lower MAE but worse R²/RMSE than the RF baseline — a genuine trade-off, not a clean win. This pattern (lower typical-case error, higher sensitivity to outlier patches) is consistent with a learned representation that generalizes well on common cases but is less robust than a simple baseline on harder ones.</w:t>
      </w:r>
    </w:p>
    <w:p>
      <w:pPr>
        <w:pStyle w:val="Heading2"/>
        <w:spacing w:after="120" w:before="240"/>
      </w:pPr>
      <w:r>
        <w:t xml:space="preserve">4.4 Per-Cluster Baseline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1500"/>
        <w:gridCol w:w="1500"/>
        <w:gridCol w:w="1900"/>
        <w:gridCol w:w="1700"/>
      </w:tblGrid>
      <w:tr>
        <w:tc>
          <w:tcPr>
            <w:tcW w:type="dxa" w:w="12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Cluster</w:t>
            </w:r>
          </w:p>
        </w:tc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RF MAE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XGB MAE</w:t>
            </w:r>
          </w:p>
        </w:tc>
        <w:tc>
          <w:tcPr>
            <w:tcW w:type="dxa" w:w="1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Embedding MAE</w:t>
            </w:r>
          </w:p>
        </w:tc>
        <w:tc>
          <w:tcPr>
            <w:tcW w:type="dxa" w:w="17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0.0689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0.0878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0.1039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0.0893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0.0805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0.0664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0.1949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0.1988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0.1426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0.1141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0.1179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0.0693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0.0925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0.1123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0.1488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Representation learning wins in 3 of 5 evaluable clusters. Combined with Section 4.2's CCA results and the earlier probing/retrieval breakdown, Clusters 0 and 1 are now confirmed by THREE independent analyses: Cluster 0 consistently shows no cross-modal benefit (weakest CCA, weakest probing/retrieval, and now the baseline beats the embedding); Cluster 1 consistently shows strong cross-modal benefit across all three. Clusters 5 and 6 show partial agreement across methods — reported honestly as a more nuanced pattern rather than forced into the same clean story.</w:t>
      </w:r>
    </w:p>
    <w:p>
      <w:pPr>
        <w:pStyle w:val="Heading1"/>
        <w:spacing w:after="150" w:before="320"/>
      </w:pPr>
      <w:r>
        <w:t xml:space="preserve">5. Discussion: A Cluster-Conditional, Physically Grounded Account</w:t>
      </w:r>
    </w:p>
    <w:p>
      <w:pPr>
        <w:spacing w:after="160"/>
      </w:pPr>
      <w:r>
        <w:t xml:space="preserve">Cluster 0 is characterized by comparatively high NDVI/RVI/entropy-proxy values (dense vegetation). Cluster 1, the strongest cluster across every analysis, has the lowest values among sizable clusters (sparser canopy). This is consistent with SAR backscatter saturation: as canopy closes, radar backscatter becomes less sensitive to further biophysical variation, degrading its correlation with optical descriptors — and this degradation shows up consistently whether measured via CCA, downstream classification, or direct regression.</w:t>
      </w:r>
    </w:p>
    <w:p>
      <w:pPr>
        <w:spacing w:after="160"/>
      </w:pPr>
      <w:r>
        <w:t xml:space="preserve">The region-level pattern reinforces this: Vidarbha (sparsest canopy) has the best reconstruction fidelity; Kerala backwaters (cloud-prone, high-moisture) has the worst feature MAE, consistent with moisture-driven backscatter noise and cloud-driven acquisition-date mismatch; Krishna-Godavari (flooded paddy) shows a split between strong classification-level retrieval and weak pixel-level reconstruction, consistent with a distinctive but structurally complex double-bounce scattering signature.</w:t>
      </w:r>
    </w:p>
    <w:p>
      <w:pPr>
        <w:spacing w:after="160"/>
      </w:pPr>
      <w:r>
        <w:t xml:space="preserve">The central methodological lesson of this thesis, beyond the physical findings themselves, is that representation learning's value is NOT uniform and must be validated per-condition, with cross-validating methods, before being claimed. A single global accuracy number (e.g., "90% retrieval" from this project's own earlier, since-corrected results) can look impressive while hiding this exact conditional structure — or, as happened during this project's development, reflect a methodological artifact rather than a real signal at all.</w:t>
      </w:r>
    </w:p>
    <w:p>
      <w:pPr>
        <w:pStyle w:val="Heading1"/>
        <w:spacing w:after="150" w:before="320"/>
      </w:pPr>
      <w:r>
        <w:t xml:space="preserve">6. Methodological Transparency Notes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 earlier evaluation reported inflated numbers (90%+ retrieval, 52 dB PSNR) due to a missing train/test split, a data-loading bug misaligning SAR/optical/label triplets, and a zero-target decoder bug. All three were corrected; every result in this document reflects the corrected pipeline.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 earlier version of the embedding-level CCA reported a canonical correlation of exactly 1.000 in every group — this was diagnosed as a classic CCA overfitting artifact (64 embedding dimensions vs. as few as 14–35 samples per group) and fixed via PCA dimensionality reduction plus a permutation-test null baseline. This is disclosed as a second concrete example of the same underlying lesson: a superficially strong cross-modal result must be checked against a proper null/control before being trusted.</w:t>
      </w:r>
    </w:p>
    <w:p>
      <w:pPr>
        <w:pStyle w:val="Heading1"/>
        <w:spacing w:after="150" w:before="320"/>
      </w:pPr>
      <w:r>
        <w:t xml:space="preserve">7. Limitations &amp; Threats to Validity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Small dataset (172 patches); several per-cluster groups have n &lt; 10, so cluster-level findings are suggestive, strengthened by (but not immune from small-sample noise despite) cross-method agreement.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GMM clustering was fit on the full dataset (train+test) before any split existed — a milder residual leakage than the corrected bugs above.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Physical Feature Decoder's targets are the same descriptors used to derive GMM labels that shaped the embedding space — a partial circularity noted throughout.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entropy proxy is a simplified dual-pol approximation, not rigorous Cloude–Pottier polarimetric entropy.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CCA and the baseline comparison were run on a single reference split, not averaged across the 3 multi-seed runs in Section 4.1.</w:t>
      </w:r>
    </w:p>
    <w:p>
      <w:pPr>
        <w:pStyle w:val="Heading1"/>
        <w:spacing w:after="150" w:before="320"/>
      </w:pPr>
      <w:r>
        <w:t xml:space="preserve">8. Conclusion</w:t>
      </w:r>
    </w:p>
    <w:p>
      <w:pPr>
        <w:spacing w:after="160"/>
      </w:pPr>
      <w:r>
        <w:t xml:space="preserve">This thesis developed a SupCon-trained SAR-optical representation learning pipeline, validated its stability across multiple random splits, and — via CCA and a controlled baseline comparison, both cross-checked against downstream task performance — established that its value over simple hand-crafted descriptors is conditional on land-cover type, not universal. Dense-canopy conditions (Cluster 0) show no cross-modal benefit from representation learning across three independent analyses; sparser-canopy conditions (Cluster 1) show clear benefit across the same three. This conditional, physically-explainable, multiply-validated account is the thesis's central contribution.</w:t>
      </w:r>
    </w:p>
    <w:p>
      <w:pPr>
        <w:pStyle w:val="Heading1"/>
        <w:spacing w:after="150" w:before="320"/>
      </w:pPr>
      <w:r>
        <w:t xml:space="preserve">9. Future 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Extend CCA and baseline comparison across all 3 multi-seed splits.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Expand the dataset to raise per-cluster sample sizes above the current interpretability floor.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Investigate why Clusters 5 and 6 show partial disagreement between CCA and task-level performance — possibly indicating CCA's linear-correlation assumption misses non-linear structure the decoder can still exploit.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Obtain quad-pol/SLC SAR data to replace the entropy proxy with rigorous polarimetric decomposition.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2026-08-02T09:10:31.389Z</dcterms:created>
  <dcterms:modified xsi:type="dcterms:W3CDTF">2026-08-02T09:10:31.390Z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