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rpm074qhj6ph" w:id="0"/>
      <w:bookmarkEnd w:id="0"/>
      <w:r w:rsidDel="00000000" w:rsidR="00000000" w:rsidRPr="00000000">
        <w:rPr>
          <w:b w:val="1"/>
          <w:bCs w:val="1"/>
          <w:sz w:val="46"/>
          <w:szCs w:val="46"/>
          <w:rtl w:val="0"/>
        </w:rPr>
        <w:t xml:space="preserve">Iksir Design Library: Accessibility Standards (WCAG 2.1 AA)</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3mmf8c6usm70" w:id="1"/>
      <w:bookmarkEnd w:id="1"/>
      <w:r w:rsidDel="00000000" w:rsidR="00000000" w:rsidRPr="00000000">
        <w:rPr>
          <w:b w:val="1"/>
          <w:bCs w:val="1"/>
          <w:sz w:val="34"/>
          <w:szCs w:val="34"/>
          <w:rtl w:val="0"/>
        </w:rPr>
        <w:t xml:space="preserve">1. Compliance Target</w:t>
      </w:r>
    </w:p>
    <w:p w:rsidR="00000000" w:rsidDel="00000000" w:rsidP="00000000" w:rsidRDefault="00000000" w:rsidRPr="00000000" w14:paraId="00000003">
      <w:pPr>
        <w:spacing w:after="240" w:lineRule="auto"/>
        <w:rPr/>
      </w:pPr>
      <w:r w:rsidDel="00000000" w:rsidR="00000000" w:rsidRPr="00000000">
        <w:rPr>
          <w:rtl w:val="0"/>
        </w:rPr>
        <w:t xml:space="preserve">The Iksir Design Library mandates compliance with </w:t>
      </w:r>
      <w:r w:rsidDel="00000000" w:rsidR="00000000" w:rsidRPr="00000000">
        <w:rPr>
          <w:b w:val="1"/>
          <w:bCs w:val="1"/>
          <w:rtl w:val="0"/>
        </w:rPr>
        <w:t xml:space="preserve">WCAG 2.1 AA</w:t>
      </w:r>
      <w:r w:rsidDel="00000000" w:rsidR="00000000" w:rsidRPr="00000000">
        <w:rPr>
          <w:rtl w:val="0"/>
        </w:rPr>
        <w:t xml:space="preserve"> standards. All components must be accessible via </w:t>
      </w:r>
      <w:r w:rsidDel="00000000" w:rsidR="00000000" w:rsidRPr="00000000">
        <w:rPr>
          <w:b w:val="1"/>
          <w:bCs w:val="1"/>
          <w:rtl w:val="0"/>
        </w:rPr>
        <w:t xml:space="preserve">screen readers</w:t>
      </w:r>
      <w:r w:rsidDel="00000000" w:rsidR="00000000" w:rsidRPr="00000000">
        <w:rPr>
          <w:rtl w:val="0"/>
        </w:rPr>
        <w:t xml:space="preserve">, </w:t>
      </w:r>
      <w:r w:rsidDel="00000000" w:rsidR="00000000" w:rsidRPr="00000000">
        <w:rPr>
          <w:b w:val="1"/>
          <w:bCs w:val="1"/>
          <w:rtl w:val="0"/>
        </w:rPr>
        <w:t xml:space="preserve">keyboard-only navigation</w:t>
      </w:r>
      <w:r w:rsidDel="00000000" w:rsidR="00000000" w:rsidRPr="00000000">
        <w:rPr>
          <w:rtl w:val="0"/>
        </w:rPr>
        <w:t xml:space="preserve">, and accommodate users with </w:t>
      </w:r>
      <w:r w:rsidDel="00000000" w:rsidR="00000000" w:rsidRPr="00000000">
        <w:rPr>
          <w:b w:val="1"/>
          <w:bCs w:val="1"/>
          <w:rtl w:val="0"/>
        </w:rPr>
        <w:t xml:space="preserve">visual impairments</w:t>
      </w:r>
      <w:r w:rsidDel="00000000" w:rsidR="00000000" w:rsidRPr="00000000">
        <w:rPr>
          <w:rtl w:val="0"/>
        </w:rPr>
        <w:t xml:space="preserve"> (color blindness, low vision).</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glh744ou48zw" w:id="2"/>
      <w:bookmarkEnd w:id="2"/>
      <w:r w:rsidDel="00000000" w:rsidR="00000000" w:rsidRPr="00000000">
        <w:rPr>
          <w:b w:val="1"/>
          <w:bCs w:val="1"/>
          <w:sz w:val="34"/>
          <w:szCs w:val="34"/>
          <w:rtl w:val="0"/>
        </w:rPr>
        <w:t xml:space="preserve">2. ERP Status &amp; Validation</w:t>
      </w:r>
    </w:p>
    <w:p w:rsidR="00000000" w:rsidDel="00000000" w:rsidP="00000000" w:rsidRDefault="00000000" w:rsidRPr="00000000" w14:paraId="00000005">
      <w:pPr>
        <w:spacing w:after="240" w:lineRule="auto"/>
        <w:rPr/>
      </w:pPr>
      <w:r w:rsidDel="00000000" w:rsidR="00000000" w:rsidRPr="00000000">
        <w:rPr>
          <w:rtl w:val="0"/>
        </w:rPr>
        <w:t xml:space="preserve">Because Iksir handles complex ERP data, color-coding must be paired with secondary indicators:</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Form Validations:</w:t>
      </w:r>
      <w:r w:rsidDel="00000000" w:rsidR="00000000" w:rsidRPr="00000000">
        <w:rPr>
          <w:rtl w:val="0"/>
        </w:rPr>
        <w:t xml:space="preserve"> Error states (</w:t>
      </w:r>
      <w:r w:rsidDel="00000000" w:rsidR="00000000" w:rsidRPr="00000000">
        <w:rPr>
          <w:color w:val="188038"/>
          <w:rtl w:val="0"/>
        </w:rPr>
        <w:t xml:space="preserve">border-error</w:t>
      </w:r>
      <w:r w:rsidDel="00000000" w:rsidR="00000000" w:rsidRPr="00000000">
        <w:rPr>
          <w:rtl w:val="0"/>
        </w:rPr>
        <w:t xml:space="preserve">, </w:t>
      </w:r>
      <w:r w:rsidDel="00000000" w:rsidR="00000000" w:rsidRPr="00000000">
        <w:rPr>
          <w:color w:val="188038"/>
          <w:rtl w:val="0"/>
        </w:rPr>
        <w:t xml:space="preserve">text-error</w:t>
      </w:r>
      <w:r w:rsidDel="00000000" w:rsidR="00000000" w:rsidRPr="00000000">
        <w:rPr>
          <w:rtl w:val="0"/>
        </w:rPr>
        <w:t xml:space="preserve"> ) must include an error icon and descriptive helper text (e.g., "This field is required").</w:t>
      </w:r>
    </w:p>
    <w:p w:rsidR="00000000" w:rsidDel="00000000" w:rsidP="00000000" w:rsidRDefault="00000000" w:rsidRPr="00000000" w14:paraId="00000007">
      <w:pPr>
        <w:numPr>
          <w:ilvl w:val="0"/>
          <w:numId w:val="3"/>
        </w:numPr>
        <w:spacing w:after="240" w:lineRule="auto"/>
        <w:ind w:left="720" w:hanging="360"/>
      </w:pPr>
      <w:r w:rsidDel="00000000" w:rsidR="00000000" w:rsidRPr="00000000">
        <w:rPr>
          <w:b w:val="1"/>
          <w:bCs w:val="1"/>
          <w:rtl w:val="0"/>
        </w:rPr>
        <w:t xml:space="preserve">Status Badges:</w:t>
      </w:r>
      <w:r w:rsidDel="00000000" w:rsidR="00000000" w:rsidRPr="00000000">
        <w:rPr>
          <w:rtl w:val="0"/>
        </w:rPr>
        <w:t xml:space="preserve"> Do not use color-only indicators. Badges must include explicit text or a universally recognizable icon (e.g., Warning Triangle, Info Circle).</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o9unz4ig97zw" w:id="3"/>
      <w:bookmarkEnd w:id="3"/>
      <w:r w:rsidDel="00000000" w:rsidR="00000000" w:rsidRPr="00000000">
        <w:rPr>
          <w:b w:val="1"/>
          <w:bCs w:val="1"/>
          <w:sz w:val="34"/>
          <w:szCs w:val="34"/>
          <w:rtl w:val="0"/>
        </w:rPr>
        <w:t xml:space="preserve">3. Tri-Lingual Screen Reader Strategy (RTL/LTR)</w:t>
      </w:r>
    </w:p>
    <w:p w:rsidR="00000000" w:rsidDel="00000000" w:rsidP="00000000" w:rsidRDefault="00000000" w:rsidRPr="00000000" w14:paraId="00000009">
      <w:pPr>
        <w:spacing w:after="240" w:lineRule="auto"/>
        <w:rPr/>
      </w:pPr>
      <w:r w:rsidDel="00000000" w:rsidR="00000000" w:rsidRPr="00000000">
        <w:rPr>
          <w:rtl w:val="0"/>
        </w:rPr>
        <w:t xml:space="preserve">Supporting French, English, and Arabic requires strict screen reader architecture.</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Language Tagging (Web):</w:t>
      </w:r>
      <w:r w:rsidDel="00000000" w:rsidR="00000000" w:rsidRPr="00000000">
        <w:rPr>
          <w:rtl w:val="0"/>
        </w:rPr>
        <w:t xml:space="preserve"> The Shadcn/HTML implementation must dynamically update the </w:t>
      </w:r>
      <w:r w:rsidDel="00000000" w:rsidR="00000000" w:rsidRPr="00000000">
        <w:rPr>
          <w:color w:val="188038"/>
          <w:rtl w:val="0"/>
        </w:rPr>
        <w:t xml:space="preserve">lang</w:t>
      </w:r>
      <w:r w:rsidDel="00000000" w:rsidR="00000000" w:rsidRPr="00000000">
        <w:rPr>
          <w:rtl w:val="0"/>
        </w:rPr>
        <w:t xml:space="preserve"> attribute (e.g., </w:t>
      </w:r>
      <w:r w:rsidDel="00000000" w:rsidR="00000000" w:rsidRPr="00000000">
        <w:rPr>
          <w:color w:val="188038"/>
          <w:rtl w:val="0"/>
        </w:rPr>
        <w:t xml:space="preserve">&lt;html lang="ar" dir="rtl"&gt;</w:t>
      </w:r>
      <w:r w:rsidDel="00000000" w:rsidR="00000000" w:rsidRPr="00000000">
        <w:rPr>
          <w:rtl w:val="0"/>
        </w:rPr>
        <w:t xml:space="preserve">) when the user switches to Arabic. This ensures the screen reader uses the correct pronunciation engine.</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Logical Reading Order:</w:t>
      </w:r>
      <w:r w:rsidDel="00000000" w:rsidR="00000000" w:rsidRPr="00000000">
        <w:rPr>
          <w:rtl w:val="0"/>
        </w:rPr>
        <w:t xml:space="preserve"> The DOM (Document Object Model) order must match the visual layout. In RTL mode, screen readers will read from right to left natively if semantic HTML/Flutter widgets are used correctly.</w:t>
      </w:r>
    </w:p>
    <w:p w:rsidR="00000000" w:rsidDel="00000000" w:rsidP="00000000" w:rsidRDefault="00000000" w:rsidRPr="00000000" w14:paraId="0000000C">
      <w:pPr>
        <w:numPr>
          <w:ilvl w:val="0"/>
          <w:numId w:val="1"/>
        </w:numPr>
        <w:spacing w:after="240" w:lineRule="auto"/>
        <w:ind w:left="720" w:hanging="360"/>
      </w:pPr>
      <w:commentRangeStart w:id="0"/>
      <w:r w:rsidDel="00000000" w:rsidR="00000000" w:rsidRPr="00000000">
        <w:rPr>
          <w:b w:val="1"/>
          <w:bCs w:val="1"/>
          <w:rtl w:val="0"/>
        </w:rPr>
        <w:t xml:space="preserve">Aria-Labels</w:t>
      </w:r>
      <w:commentRangeEnd w:id="0"/>
      <w:r w:rsidDel="00000000" w:rsidR="00000000" w:rsidRPr="00000000">
        <w:commentReference w:id="0"/>
      </w:r>
      <w:r w:rsidDel="00000000" w:rsidR="00000000" w:rsidRPr="00000000">
        <w:rPr>
          <w:b w:val="1"/>
          <w:bCs w:val="1"/>
          <w:rtl w:val="0"/>
        </w:rPr>
        <w:t xml:space="preserve">:</w:t>
      </w:r>
      <w:r w:rsidDel="00000000" w:rsidR="00000000" w:rsidRPr="00000000">
        <w:rPr>
          <w:rtl w:val="0"/>
        </w:rPr>
        <w:t xml:space="preserve"> Icons without text (e.g., an icon-only "Save" button) must have localized </w:t>
      </w:r>
      <w:r w:rsidDel="00000000" w:rsidR="00000000" w:rsidRPr="00000000">
        <w:rPr>
          <w:color w:val="188038"/>
          <w:rtl w:val="0"/>
        </w:rPr>
        <w:t xml:space="preserve">aria-labels</w:t>
      </w:r>
      <w:r w:rsidDel="00000000" w:rsidR="00000000" w:rsidRPr="00000000">
        <w:rPr>
          <w:rtl w:val="0"/>
        </w:rPr>
        <w:t xml:space="preserve"> (Web) or </w:t>
      </w:r>
      <w:r w:rsidDel="00000000" w:rsidR="00000000" w:rsidRPr="00000000">
        <w:rPr>
          <w:color w:val="188038"/>
          <w:rtl w:val="0"/>
        </w:rPr>
        <w:t xml:space="preserve">Semantics(label: '...')</w:t>
      </w:r>
      <w:r w:rsidDel="00000000" w:rsidR="00000000" w:rsidRPr="00000000">
        <w:rPr>
          <w:rtl w:val="0"/>
        </w:rPr>
        <w:t xml:space="preserve"> (Flutter) that translate alongside the UI.</w:t>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72zfnhytwlsu" w:id="4"/>
      <w:bookmarkEnd w:id="4"/>
      <w:r w:rsidDel="00000000" w:rsidR="00000000" w:rsidRPr="00000000">
        <w:rPr>
          <w:b w:val="1"/>
          <w:bCs w:val="1"/>
          <w:sz w:val="34"/>
          <w:szCs w:val="34"/>
          <w:rtl w:val="0"/>
        </w:rPr>
        <w:t xml:space="preserve">4. Enforcement &amp; Testing Workflows</w:t>
      </w:r>
    </w:p>
    <w:p w:rsidR="00000000" w:rsidDel="00000000" w:rsidP="00000000" w:rsidRDefault="00000000" w:rsidRPr="00000000" w14:paraId="0000000E">
      <w:pPr>
        <w:spacing w:after="240" w:lineRule="auto"/>
        <w:rPr/>
      </w:pPr>
      <w:r w:rsidDel="00000000" w:rsidR="00000000" w:rsidRPr="00000000">
        <w:rPr>
          <w:rtl w:val="0"/>
        </w:rPr>
        <w:t xml:space="preserve">Accessibility is a shared responsibility between Design and Engineering.</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rtl w:val="0"/>
        </w:rPr>
        <w:t xml:space="preserve">Design QA (Figma):</w:t>
      </w:r>
      <w:r w:rsidDel="00000000" w:rsidR="00000000" w:rsidRPr="00000000">
        <w:rPr>
          <w:rtl w:val="0"/>
        </w:rPr>
        <w:t xml:space="preserve"> The design team will use the </w:t>
      </w:r>
      <w:r w:rsidDel="00000000" w:rsidR="00000000" w:rsidRPr="00000000">
        <w:rPr>
          <w:b w:val="1"/>
          <w:bCs w:val="1"/>
          <w:rtl w:val="0"/>
        </w:rPr>
        <w:t xml:space="preserve">Stark</w:t>
      </w:r>
      <w:r w:rsidDel="00000000" w:rsidR="00000000" w:rsidRPr="00000000">
        <w:rPr>
          <w:rtl w:val="0"/>
        </w:rPr>
        <w:t xml:space="preserve"> or </w:t>
      </w:r>
      <w:r w:rsidDel="00000000" w:rsidR="00000000" w:rsidRPr="00000000">
        <w:rPr>
          <w:b w:val="1"/>
          <w:bCs w:val="1"/>
          <w:rtl w:val="0"/>
        </w:rPr>
        <w:t xml:space="preserve">Contrast</w:t>
      </w:r>
      <w:r w:rsidDel="00000000" w:rsidR="00000000" w:rsidRPr="00000000">
        <w:rPr>
          <w:rtl w:val="0"/>
        </w:rPr>
        <w:t xml:space="preserve"> Figma plugins to verify WCAG 2.1 AA contrast ratios and simulate color blindness before handoff.</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b w:val="1"/>
          <w:bCs w:val="1"/>
          <w:rtl w:val="0"/>
        </w:rPr>
        <w:t xml:space="preserve">Web Engineering QA (Shadcn):</w:t>
      </w:r>
      <w:r w:rsidDel="00000000" w:rsidR="00000000" w:rsidRPr="00000000">
        <w:rPr>
          <w:rtl w:val="0"/>
        </w:rPr>
        <w:t xml:space="preserve"> Developers must run </w:t>
      </w:r>
      <w:r w:rsidDel="00000000" w:rsidR="00000000" w:rsidRPr="00000000">
        <w:rPr>
          <w:b w:val="1"/>
          <w:bCs w:val="1"/>
          <w:rtl w:val="0"/>
        </w:rPr>
        <w:t xml:space="preserve">axe DevTools</w:t>
      </w:r>
      <w:r w:rsidDel="00000000" w:rsidR="00000000" w:rsidRPr="00000000">
        <w:rPr>
          <w:rtl w:val="0"/>
        </w:rPr>
        <w:t xml:space="preserve"> (browser extension) or Lighthouse accessibility audits on all coded components.</w:t>
      </w:r>
    </w:p>
    <w:p w:rsidR="00000000" w:rsidDel="00000000" w:rsidP="00000000" w:rsidRDefault="00000000" w:rsidRPr="00000000" w14:paraId="00000011">
      <w:pPr>
        <w:numPr>
          <w:ilvl w:val="0"/>
          <w:numId w:val="2"/>
        </w:numPr>
        <w:spacing w:after="240" w:lineRule="auto"/>
        <w:ind w:left="720" w:hanging="360"/>
      </w:pPr>
      <w:r w:rsidDel="00000000" w:rsidR="00000000" w:rsidRPr="00000000">
        <w:rPr>
          <w:b w:val="1"/>
          <w:bCs w:val="1"/>
          <w:rtl w:val="0"/>
        </w:rPr>
        <w:t xml:space="preserve">Mobile Engineering QA (Flutter):</w:t>
      </w:r>
      <w:r w:rsidDel="00000000" w:rsidR="00000000" w:rsidRPr="00000000">
        <w:rPr>
          <w:rtl w:val="0"/>
        </w:rPr>
        <w:t xml:space="preserve"> Developers must utilize Flutter's built-in </w:t>
      </w:r>
      <w:r w:rsidDel="00000000" w:rsidR="00000000" w:rsidRPr="00000000">
        <w:rPr>
          <w:color w:val="188038"/>
          <w:rtl w:val="0"/>
        </w:rPr>
        <w:t xml:space="preserve">AccessibilityGuidelines</w:t>
      </w:r>
      <w:r w:rsidDel="00000000" w:rsidR="00000000" w:rsidRPr="00000000">
        <w:rPr>
          <w:rtl w:val="0"/>
        </w:rPr>
        <w:t xml:space="preserve"> and test components using VoiceOver (iOS) and TalkBack (Android).</w:t>
      </w:r>
    </w:p>
    <w:p w:rsidR="00000000" w:rsidDel="00000000" w:rsidP="00000000" w:rsidRDefault="00000000" w:rsidRPr="00000000" w14:paraId="00000012">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r Mostefaoui" w:id="0" w:date="2026-03-15T14:58:15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ARIA-Label (Accessible Rich Internet Applications Label) is an attribute used in web accessibility to define a string value that labels an interactive element when no visible text is available. This label is not displayed visually on the screen but is instead read aloud by screen readers and other assistive technologies.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