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n59ro2ivjogl" w:id="0"/>
      <w:bookmarkEnd w:id="0"/>
      <w:r w:rsidDel="00000000" w:rsidR="00000000" w:rsidRPr="00000000">
        <w:rPr>
          <w:b w:val="1"/>
          <w:bCs w:val="1"/>
          <w:sz w:val="46"/>
          <w:szCs w:val="46"/>
          <w:rtl w:val="0"/>
        </w:rPr>
        <w:t xml:space="preserve">Rapport de la Phase 2 : Foundations </w:t>
      </w:r>
    </w:p>
    <w:p w:rsidR="00000000" w:rsidDel="00000000" w:rsidP="00000000" w:rsidRDefault="00000000" w:rsidRPr="00000000" w14:paraId="00000002">
      <w:pPr>
        <w:spacing w:after="240" w:lineRule="auto"/>
        <w:rPr/>
      </w:pPr>
      <w:r w:rsidDel="00000000" w:rsidR="00000000" w:rsidRPr="00000000">
        <w:rPr>
          <w:b w:val="1"/>
          <w:bCs w:val="1"/>
          <w:rtl w:val="0"/>
        </w:rPr>
        <w:t xml:space="preserve">Projet :</w:t>
      </w:r>
      <w:r w:rsidDel="00000000" w:rsidR="00000000" w:rsidRPr="00000000">
        <w:rPr>
          <w:rtl w:val="0"/>
        </w:rPr>
        <w:t xml:space="preserve"> Design Library pour Datamaster  ||   </w:t>
      </w:r>
      <w:r w:rsidDel="00000000" w:rsidR="00000000" w:rsidRPr="00000000">
        <w:rPr>
          <w:b w:val="1"/>
          <w:bCs w:val="1"/>
          <w:rtl w:val="0"/>
        </w:rPr>
        <w:t xml:space="preserve">Identité de marque :</w:t>
      </w:r>
      <w:r w:rsidDel="00000000" w:rsidR="00000000" w:rsidRPr="00000000">
        <w:rPr>
          <w:rtl w:val="0"/>
        </w:rPr>
        <w:t xml:space="preserve"> Iksir</w:t>
      </w:r>
    </w:p>
    <w:p w:rsidR="00000000" w:rsidDel="00000000" w:rsidP="00000000" w:rsidRDefault="00000000" w:rsidRPr="00000000" w14:paraId="00000003">
      <w:pPr>
        <w:spacing w:after="240" w:lineRule="auto"/>
        <w:rPr/>
      </w:pPr>
      <w:hyperlink r:id="rId6">
        <w:r w:rsidDel="00000000" w:rsidR="00000000" w:rsidRPr="00000000">
          <w:rPr>
            <w:color w:val="1155cc"/>
            <w:u w:val="single"/>
            <w:rtl w:val="0"/>
          </w:rPr>
          <w:t xml:space="preserve">La version actuelle</w:t>
        </w:r>
      </w:hyperlink>
      <w:r w:rsidDel="00000000" w:rsidR="00000000" w:rsidRPr="00000000">
        <w:rPr>
          <w:rtl w:val="0"/>
        </w:rPr>
        <w:t xml:space="preserve">  ||   </w:t>
      </w:r>
      <w:hyperlink r:id="rId7">
        <w:r w:rsidDel="00000000" w:rsidR="00000000" w:rsidRPr="00000000">
          <w:rPr>
            <w:color w:val="1155cc"/>
            <w:u w:val="single"/>
            <w:rtl w:val="0"/>
          </w:rPr>
          <w:t xml:space="preserve">Figma File</w:t>
        </w:r>
      </w:hyperlink>
      <w:r w:rsidDel="00000000" w:rsidR="00000000" w:rsidRPr="00000000">
        <w:rPr>
          <w:rtl w:val="0"/>
        </w:rPr>
        <w:t xml:space="preserve"> || La version web (Vous le trouverez sur ClickUp Ticket)</w:t>
      </w: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xq9vltx5ydut" w:id="1"/>
      <w:bookmarkEnd w:id="1"/>
      <w:r w:rsidDel="00000000" w:rsidR="00000000" w:rsidRPr="00000000">
        <w:rPr>
          <w:b w:val="1"/>
          <w:bCs w:val="1"/>
          <w:sz w:val="34"/>
          <w:szCs w:val="34"/>
          <w:rtl w:val="0"/>
        </w:rPr>
        <w:t xml:space="preserve">1. Résumé Exécutif</w:t>
      </w:r>
    </w:p>
    <w:p w:rsidR="00000000" w:rsidDel="00000000" w:rsidP="00000000" w:rsidRDefault="00000000" w:rsidRPr="00000000" w14:paraId="00000005">
      <w:pPr>
        <w:spacing w:after="240" w:lineRule="auto"/>
        <w:rPr/>
      </w:pPr>
      <w:r w:rsidDel="00000000" w:rsidR="00000000" w:rsidRPr="00000000">
        <w:rPr>
          <w:rtl w:val="0"/>
        </w:rPr>
        <w:t xml:space="preserve">Ce document clôture la Phase 2 (Fondations) du projet de Design Library Iksir. L'objectif principal de cette phase était de définir les règles visuelles et d'interaction de base.</w:t>
      </w:r>
    </w:p>
    <w:p w:rsidR="00000000" w:rsidDel="00000000" w:rsidP="00000000" w:rsidRDefault="00000000" w:rsidRPr="00000000" w14:paraId="00000006">
      <w:pPr>
        <w:spacing w:after="240" w:lineRule="auto"/>
        <w:rPr/>
      </w:pPr>
      <w:r w:rsidDel="00000000" w:rsidR="00000000" w:rsidRPr="00000000">
        <w:rPr>
          <w:rtl w:val="0"/>
        </w:rPr>
        <w:t xml:space="preserve">Nous avons réussi à traduire les conclusions de l'audit de la Phase 1 en une architecture technique robuste. Au lieu de nous limiter à de simples choix visuels, nous avons mis en place une stratégie complète de "Design Tokens" (Tokens de design) et une architecture LTR/RTL dynamique. Cela garantit que le système est prêt à être déployé de manière cohérente sur les environnements Web et Mobile (Flutter).</w:t>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wa9e8vqyicpc" w:id="2"/>
      <w:bookmarkEnd w:id="2"/>
      <w:r w:rsidDel="00000000" w:rsidR="00000000" w:rsidRPr="00000000">
        <w:rPr>
          <w:b w:val="1"/>
          <w:bCs w:val="1"/>
          <w:sz w:val="34"/>
          <w:szCs w:val="34"/>
          <w:rtl w:val="0"/>
        </w:rPr>
        <w:t xml:space="preserve">2. Stratégie et Architecture des Design Tokens</w:t>
      </w:r>
    </w:p>
    <w:p w:rsidR="00000000" w:rsidDel="00000000" w:rsidP="00000000" w:rsidRDefault="00000000" w:rsidRPr="00000000" w14:paraId="00000008">
      <w:pPr>
        <w:spacing w:after="240" w:lineRule="auto"/>
        <w:rPr/>
      </w:pPr>
      <w:r w:rsidDel="00000000" w:rsidR="00000000" w:rsidRPr="00000000">
        <w:rPr>
          <w:rtl w:val="0"/>
        </w:rPr>
        <w:t xml:space="preserve">Pour éliminer les ambiguïtés entre le design et le développement, nous avons défini une taxonomie stricte basée sur la structure CTI (Catégorie-Propriété-Concept-État). Le système est divisé en deux couches :</w:t>
      </w:r>
    </w:p>
    <w:p w:rsidR="00000000" w:rsidDel="00000000" w:rsidP="00000000" w:rsidRDefault="00000000" w:rsidRPr="00000000" w14:paraId="00000009">
      <w:pPr>
        <w:numPr>
          <w:ilvl w:val="0"/>
          <w:numId w:val="6"/>
        </w:numPr>
        <w:spacing w:after="0" w:afterAutospacing="0" w:lineRule="auto"/>
        <w:ind w:left="720" w:hanging="360"/>
      </w:pPr>
      <w:r w:rsidDel="00000000" w:rsidR="00000000" w:rsidRPr="00000000">
        <w:rPr>
          <w:b w:val="1"/>
          <w:bCs w:val="1"/>
          <w:rtl w:val="0"/>
        </w:rPr>
        <w:t xml:space="preserve">Tokens Primitifs :</w:t>
      </w:r>
      <w:r w:rsidDel="00000000" w:rsidR="00000000" w:rsidRPr="00000000">
        <w:rPr>
          <w:rtl w:val="0"/>
        </w:rPr>
        <w:t xml:space="preserve"> Les valeurs brutes et fondatrices (ex. </w:t>
      </w:r>
      <w:r w:rsidDel="00000000" w:rsidR="00000000" w:rsidRPr="00000000">
        <w:rPr>
          <w:color w:val="188038"/>
          <w:rtl w:val="0"/>
        </w:rPr>
        <w:t xml:space="preserve">blue-500</w:t>
      </w:r>
      <w:r w:rsidDel="00000000" w:rsidR="00000000" w:rsidRPr="00000000">
        <w:rPr>
          <w:rtl w:val="0"/>
        </w:rPr>
        <w:t xml:space="preserve"> ou </w:t>
      </w:r>
      <w:r w:rsidDel="00000000" w:rsidR="00000000" w:rsidRPr="00000000">
        <w:rPr>
          <w:color w:val="188038"/>
          <w:rtl w:val="0"/>
        </w:rPr>
        <w:t xml:space="preserve">space-4</w:t>
      </w:r>
      <w:r w:rsidDel="00000000" w:rsidR="00000000" w:rsidRPr="00000000">
        <w:rPr>
          <w:rtl w:val="0"/>
        </w:rPr>
        <w:t xml:space="preserve">).</w:t>
      </w:r>
    </w:p>
    <w:p w:rsidR="00000000" w:rsidDel="00000000" w:rsidP="00000000" w:rsidRDefault="00000000" w:rsidRPr="00000000" w14:paraId="0000000A">
      <w:pPr>
        <w:numPr>
          <w:ilvl w:val="0"/>
          <w:numId w:val="6"/>
        </w:numPr>
        <w:spacing w:after="240" w:lineRule="auto"/>
        <w:ind w:left="720" w:hanging="360"/>
      </w:pPr>
      <w:r w:rsidDel="00000000" w:rsidR="00000000" w:rsidRPr="00000000">
        <w:rPr>
          <w:b w:val="1"/>
          <w:bCs w:val="1"/>
          <w:rtl w:val="0"/>
        </w:rPr>
        <w:t xml:space="preserve">Tokens Sémantiques :</w:t>
      </w:r>
      <w:r w:rsidDel="00000000" w:rsidR="00000000" w:rsidRPr="00000000">
        <w:rPr>
          <w:rtl w:val="0"/>
        </w:rPr>
        <w:t xml:space="preserve"> L'usage prévu et l'intention de la valeur (ex. </w:t>
      </w:r>
      <w:r w:rsidDel="00000000" w:rsidR="00000000" w:rsidRPr="00000000">
        <w:rPr>
          <w:color w:val="188038"/>
          <w:rtl w:val="0"/>
        </w:rPr>
        <w:t xml:space="preserve">bg-primary</w:t>
      </w:r>
      <w:r w:rsidDel="00000000" w:rsidR="00000000" w:rsidRPr="00000000">
        <w:rPr>
          <w:rtl w:val="0"/>
        </w:rPr>
        <w:t xml:space="preserve">, </w:t>
      </w:r>
      <w:r w:rsidDel="00000000" w:rsidR="00000000" w:rsidRPr="00000000">
        <w:rPr>
          <w:color w:val="188038"/>
          <w:rtl w:val="0"/>
        </w:rPr>
        <w:t xml:space="preserve">text-error</w:t>
      </w:r>
      <w:r w:rsidDel="00000000" w:rsidR="00000000" w:rsidRPr="00000000">
        <w:rPr>
          <w:rtl w:val="0"/>
        </w:rPr>
        <w:t xml:space="preserve">).</w:t>
      </w:r>
    </w:p>
    <w:p w:rsidR="00000000" w:rsidDel="00000000" w:rsidP="00000000" w:rsidRDefault="00000000" w:rsidRPr="00000000" w14:paraId="0000000B">
      <w:pPr>
        <w:spacing w:after="240" w:lineRule="auto"/>
        <w:rPr/>
      </w:pPr>
      <w:r w:rsidDel="00000000" w:rsidR="00000000" w:rsidRPr="00000000">
        <w:rPr>
          <w:rtl w:val="0"/>
        </w:rPr>
        <w:t xml:space="preserve">Cette séparation garantit que les développeurs ne coderont plus jamais de valeurs hexadécimales en dur, permettant ainsi un basculement fluide entre les modes (Clair/Sombre) de manière native.</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mkcoonmbrtth" w:id="3"/>
      <w:bookmarkEnd w:id="3"/>
      <w:r w:rsidDel="00000000" w:rsidR="00000000" w:rsidRPr="00000000">
        <w:rPr>
          <w:b w:val="1"/>
          <w:bCs w:val="1"/>
          <w:sz w:val="34"/>
          <w:szCs w:val="34"/>
          <w:rtl w:val="0"/>
        </w:rPr>
        <w:t xml:space="preserve">3. Architecture Trilingue et Bidirectionnelle (LTR / RTL)</w:t>
      </w:r>
    </w:p>
    <w:p w:rsidR="00000000" w:rsidDel="00000000" w:rsidP="00000000" w:rsidRDefault="00000000" w:rsidRPr="00000000" w14:paraId="0000000D">
      <w:pPr>
        <w:spacing w:after="240" w:lineRule="auto"/>
        <w:rPr/>
      </w:pPr>
      <w:r w:rsidDel="00000000" w:rsidR="00000000" w:rsidRPr="00000000">
        <w:rPr>
          <w:rtl w:val="0"/>
        </w:rPr>
        <w:t xml:space="preserve">Étant donné que le système doit supporter nativement le français (LTR), l'anglais (LTR) et l'arabe (RTL), nous avons mis en place des règles fondamentales pour éviter la dette technique. </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b w:val="1"/>
          <w:bCs w:val="1"/>
          <w:rtl w:val="0"/>
        </w:rPr>
        <w:t xml:space="preserve">Propriétés Logiques :</w:t>
      </w:r>
      <w:r w:rsidDel="00000000" w:rsidR="00000000" w:rsidRPr="00000000">
        <w:rPr>
          <w:rtl w:val="0"/>
        </w:rPr>
        <w:t xml:space="preserve"> Interdiction absolue d'utiliser des propriétés directionnelles physiques (Gauche/Droite). Tous les espacements et comportements utilisent des propriétés logiques (Début/Fin) pour permettre à l'interface de se refléter automatiquement.</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b w:val="1"/>
          <w:bCs w:val="1"/>
          <w:rtl w:val="0"/>
        </w:rPr>
        <w:t xml:space="preserve">Harmonie Typographique (Double Script) :</w:t>
      </w:r>
      <w:r w:rsidDel="00000000" w:rsidR="00000000" w:rsidRPr="00000000">
        <w:rPr>
          <w:rtl w:val="0"/>
        </w:rPr>
        <w:t xml:space="preserve"> Utilisation d'une police latine principale (Montserrat/Inter) et d'une police arabe complémentaire (Alexandria/Inter) partageant un poids optique similaire.</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Ajustements Optiques :</w:t>
      </w:r>
      <w:r w:rsidDel="00000000" w:rsidR="00000000" w:rsidRPr="00000000">
        <w:rPr>
          <w:rtl w:val="0"/>
        </w:rPr>
        <w:t xml:space="preserve"> Implémentation de hauteurs de ligne spécifiques pour l'arabe afin d'éviter la coupure des caractères dans les tableaux denses. La taille du texte arabe est également augmentée de 1 à 2 pixels pour correspondre visuellement à la ligne de base anglaise.</w:t>
      </w:r>
    </w:p>
    <w:p w:rsidR="00000000" w:rsidDel="00000000" w:rsidP="00000000" w:rsidRDefault="00000000" w:rsidRPr="00000000" w14:paraId="00000011">
      <w:pPr>
        <w:numPr>
          <w:ilvl w:val="0"/>
          <w:numId w:val="4"/>
        </w:numPr>
        <w:spacing w:after="240" w:lineRule="auto"/>
        <w:ind w:left="720" w:hanging="360"/>
      </w:pPr>
      <w:r w:rsidDel="00000000" w:rsidR="00000000" w:rsidRPr="00000000">
        <w:rPr>
          <w:b w:val="1"/>
          <w:bCs w:val="1"/>
          <w:rtl w:val="0"/>
        </w:rPr>
        <w:t xml:space="preserve">Miroir des Icônes :</w:t>
      </w:r>
      <w:r w:rsidDel="00000000" w:rsidR="00000000" w:rsidRPr="00000000">
        <w:rPr>
          <w:rtl w:val="0"/>
        </w:rPr>
        <w:t xml:space="preserve"> Classification stricte des icônes en "Directionnelles" (qui se reflètent en arabe) et "Universelles" (qui restent statiques).</w:t>
      </w:r>
    </w:p>
    <w:p w:rsidR="00000000" w:rsidDel="00000000" w:rsidP="00000000" w:rsidRDefault="00000000" w:rsidRPr="00000000" w14:paraId="0000001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sz w:val="34"/>
          <w:szCs w:val="34"/>
        </w:rPr>
      </w:pPr>
      <w:bookmarkStart w:colFirst="0" w:colLast="0" w:name="_sg0h8jh70hj6" w:id="4"/>
      <w:bookmarkEnd w:id="4"/>
      <w:r w:rsidDel="00000000" w:rsidR="00000000" w:rsidRPr="00000000">
        <w:rPr>
          <w:b w:val="1"/>
          <w:bCs w:val="1"/>
          <w:sz w:val="34"/>
          <w:szCs w:val="34"/>
          <w:rtl w:val="0"/>
        </w:rPr>
        <w:t xml:space="preserve">4. Implémentation des Variables et Documentation Figma </w:t>
      </w:r>
    </w:p>
    <w:p w:rsidR="00000000" w:rsidDel="00000000" w:rsidP="00000000" w:rsidRDefault="00000000" w:rsidRPr="00000000" w14:paraId="00000013">
      <w:pPr>
        <w:spacing w:after="240" w:before="240" w:lineRule="auto"/>
        <w:rPr/>
      </w:pPr>
      <w:r w:rsidDel="00000000" w:rsidR="00000000" w:rsidRPr="00000000">
        <w:rPr>
          <w:rtl w:val="0"/>
        </w:rPr>
        <w:t xml:space="preserve">La fondation du design est désormais centralisée dans un fichier de bibliothèque Figma partagé. Nous avons traduit l'architecture technique en un écosystème robuste et prêt à l'emploi, comprenant :</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Création exhaustive des variables :</w:t>
      </w:r>
      <w:r w:rsidDel="00000000" w:rsidR="00000000" w:rsidRPr="00000000">
        <w:rPr>
          <w:rtl w:val="0"/>
        </w:rPr>
        <w:t xml:space="preserve"> Intégration de tous les Design Tokens sous forme de variables Figma, avec une séparation stricte entre les tokens primitifs (valeurs brutes) et les tokens sémantiques (intentions d'usage).</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Modes Clair / Sombre :</w:t>
      </w:r>
      <w:r w:rsidDel="00000000" w:rsidR="00000000" w:rsidRPr="00000000">
        <w:rPr>
          <w:rtl w:val="0"/>
        </w:rPr>
        <w:t xml:space="preserve"> Configuration native des thèmes (Light / Dark modes) qui basculent automatiquement grâce aux variables sémantiques.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Support Bidirectionnel (LTR / RTL) :</w:t>
      </w:r>
      <w:r w:rsidDel="00000000" w:rsidR="00000000" w:rsidRPr="00000000">
        <w:rPr>
          <w:rtl w:val="0"/>
        </w:rPr>
        <w:t xml:space="preserve"> Paramétrage des variables d'espacement et de disposition pour gérer dynamiquement le basculement entre les langues latines (Français/Anglais) et l'Arabe.</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Documentation visuelle intégrée :</w:t>
      </w:r>
      <w:r w:rsidDel="00000000" w:rsidR="00000000" w:rsidRPr="00000000">
        <w:rPr>
          <w:rtl w:val="0"/>
        </w:rPr>
        <w:t xml:space="preserve"> Création d'une documentation directement au sein du fichier Figma pour expliquer visuellement aux équipes comment et quand utiliser chaque variable.</w:t>
      </w:r>
    </w:p>
    <w:p w:rsidR="00000000" w:rsidDel="00000000" w:rsidP="00000000" w:rsidRDefault="00000000" w:rsidRPr="00000000" w14:paraId="0000001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sz w:val="34"/>
          <w:szCs w:val="34"/>
        </w:rPr>
      </w:pPr>
      <w:bookmarkStart w:colFirst="0" w:colLast="0" w:name="_2an2i0o4ssz5" w:id="5"/>
      <w:bookmarkEnd w:id="5"/>
      <w:r w:rsidDel="00000000" w:rsidR="00000000" w:rsidRPr="00000000">
        <w:rPr>
          <w:b w:val="1"/>
          <w:bCs w:val="1"/>
          <w:sz w:val="34"/>
          <w:szCs w:val="34"/>
          <w:rtl w:val="0"/>
        </w:rPr>
        <w:t xml:space="preserve">5. Normes d'Accessibilité (WCAG 2.1 AA) </w:t>
      </w:r>
    </w:p>
    <w:p w:rsidR="00000000" w:rsidDel="00000000" w:rsidP="00000000" w:rsidRDefault="00000000" w:rsidRPr="00000000" w14:paraId="00000019">
      <w:pPr>
        <w:spacing w:after="240" w:before="240" w:lineRule="auto"/>
        <w:rPr/>
      </w:pPr>
      <w:r w:rsidDel="00000000" w:rsidR="00000000" w:rsidRPr="00000000">
        <w:rPr>
          <w:rtl w:val="0"/>
        </w:rPr>
        <w:t xml:space="preserve">L'accessibilité n'a pas été traitée comme une réflexion après coup, mais intégrée dès la conception des variables fondamentales :</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Contraste :</w:t>
      </w:r>
      <w:r w:rsidDel="00000000" w:rsidR="00000000" w:rsidRPr="00000000">
        <w:rPr>
          <w:rtl w:val="0"/>
        </w:rPr>
        <w:t xml:space="preserve"> Respect strict des ratios de contraste (4.5:1 pour le texte normal, 3:1 pour le texte large et les composants UI critiques).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Cibles Tactiles :</w:t>
      </w:r>
      <w:r w:rsidDel="00000000" w:rsidR="00000000" w:rsidRPr="00000000">
        <w:rPr>
          <w:rtl w:val="0"/>
        </w:rPr>
        <w:t xml:space="preserve"> Tailles minimales garanties pour les interfaces mobiles (44x44pt pour iOS, 48x48dp pour Android).</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Navigation au Clavier :</w:t>
      </w:r>
      <w:r w:rsidDel="00000000" w:rsidR="00000000" w:rsidRPr="00000000">
        <w:rPr>
          <w:rtl w:val="0"/>
        </w:rPr>
        <w:t xml:space="preserve"> Définition de tokens spécifiques pour les anneaux de focus (focus rings) afin d'assurer une navigation claire et accessible au clavier.</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Directives approfondies :</w:t>
      </w:r>
      <w:r w:rsidDel="00000000" w:rsidR="00000000" w:rsidRPr="00000000">
        <w:rPr>
          <w:rtl w:val="0"/>
        </w:rPr>
        <w:t xml:space="preserve"> Pour une implémentation complète, l'ensemble des règles détaillées, des cas d'usage et des bonnes pratiques d'accessibilité est documenté de manière exhaustive sur notre plateforme de documentation Web</w:t>
      </w:r>
    </w:p>
    <w:p w:rsidR="00000000" w:rsidDel="00000000" w:rsidP="00000000" w:rsidRDefault="00000000" w:rsidRPr="00000000" w14:paraId="0000001E">
      <w:pPr>
        <w:spacing w:after="240" w:lineRule="auto"/>
        <w:rPr/>
      </w:pPr>
      <w:r w:rsidDel="00000000" w:rsidR="00000000" w:rsidRPr="00000000">
        <w:rPr>
          <w:rtl w:val="0"/>
        </w:rPr>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tkankhhjudap" w:id="6"/>
      <w:bookmarkEnd w:id="6"/>
      <w:r w:rsidDel="00000000" w:rsidR="00000000" w:rsidRPr="00000000">
        <w:rPr>
          <w:b w:val="1"/>
          <w:bCs w:val="1"/>
          <w:sz w:val="34"/>
          <w:szCs w:val="34"/>
          <w:rtl w:val="0"/>
        </w:rPr>
        <w:t xml:space="preserve">6. Plateforme de Documentation Web</w:t>
      </w:r>
    </w:p>
    <w:p w:rsidR="00000000" w:rsidDel="00000000" w:rsidP="00000000" w:rsidRDefault="00000000" w:rsidRPr="00000000" w14:paraId="00000020">
      <w:pPr>
        <w:spacing w:after="240" w:lineRule="auto"/>
        <w:rPr/>
      </w:pPr>
      <w:r w:rsidDel="00000000" w:rsidR="00000000" w:rsidRPr="00000000">
        <w:rPr>
          <w:rtl w:val="0"/>
        </w:rPr>
        <w:t xml:space="preserve">Pour démocratiser l'accès au Design System et faciliter le transfert vers les développeurs, nous avons déployé une version Web interactive de la bibliothèque. Cette plateforme centralise :</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b w:val="1"/>
          <w:bCs w:val="1"/>
          <w:rtl w:val="0"/>
        </w:rPr>
        <w:t xml:space="preserve">L'inventaire visuel :</w:t>
      </w:r>
      <w:r w:rsidDel="00000000" w:rsidR="00000000" w:rsidRPr="00000000">
        <w:rPr>
          <w:rtl w:val="0"/>
        </w:rPr>
        <w:t xml:space="preserve"> Documentation complète des couleurs, de la typographie, des espacements, des rayons de bordure (radius) et des élévations.</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b w:val="1"/>
          <w:bCs w:val="1"/>
          <w:rtl w:val="0"/>
        </w:rPr>
        <w:t xml:space="preserve">Un testeur typographique interactif :</w:t>
      </w:r>
      <w:r w:rsidDel="00000000" w:rsidR="00000000" w:rsidRPr="00000000">
        <w:rPr>
          <w:rtl w:val="0"/>
        </w:rPr>
        <w:t xml:space="preserve"> Permettant aux équipes de tester le comportement du texte en direct, en basculant entre les modes Latin et Arabe pour visualiser les ajustements optiques en temps réel.</w:t>
      </w:r>
    </w:p>
    <w:p w:rsidR="00000000" w:rsidDel="00000000" w:rsidP="00000000" w:rsidRDefault="00000000" w:rsidRPr="00000000" w14:paraId="00000023">
      <w:pPr>
        <w:numPr>
          <w:ilvl w:val="0"/>
          <w:numId w:val="2"/>
        </w:numPr>
        <w:spacing w:after="240" w:lineRule="auto"/>
        <w:ind w:left="720" w:hanging="360"/>
      </w:pPr>
      <w:r w:rsidDel="00000000" w:rsidR="00000000" w:rsidRPr="00000000">
        <w:rPr>
          <w:b w:val="1"/>
          <w:bCs w:val="1"/>
          <w:rtl w:val="0"/>
        </w:rPr>
        <w:t xml:space="preserve">Exportation CSS prête à l'emploi :</w:t>
      </w:r>
      <w:r w:rsidDel="00000000" w:rsidR="00000000" w:rsidRPr="00000000">
        <w:rPr>
          <w:rtl w:val="0"/>
        </w:rPr>
        <w:t xml:space="preserve"> Un module permettant aux développeurs de copier directement les variables CSS (</w:t>
      </w:r>
      <w:r w:rsidDel="00000000" w:rsidR="00000000" w:rsidRPr="00000000">
        <w:rPr>
          <w:color w:val="188038"/>
          <w:rtl w:val="0"/>
        </w:rPr>
        <w:t xml:space="preserve">:root</w:t>
      </w:r>
      <w:r w:rsidDel="00000000" w:rsidR="00000000" w:rsidRPr="00000000">
        <w:rPr>
          <w:rtl w:val="0"/>
        </w:rPr>
        <w:t xml:space="preserve">) générées à partir des tokens sémantiques, accélérant ainsi l'intégration dans Shadcn.</w:t>
      </w:r>
    </w:p>
    <w:p w:rsidR="00000000" w:rsidDel="00000000" w:rsidP="00000000" w:rsidRDefault="00000000" w:rsidRPr="00000000" w14:paraId="0000002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sz w:val="34"/>
          <w:szCs w:val="34"/>
        </w:rPr>
      </w:pPr>
      <w:bookmarkStart w:colFirst="0" w:colLast="0" w:name="_2zjducphgn9f" w:id="7"/>
      <w:bookmarkEnd w:id="7"/>
      <w:r w:rsidDel="00000000" w:rsidR="00000000" w:rsidRPr="00000000">
        <w:rPr>
          <w:b w:val="1"/>
          <w:bCs w:val="1"/>
          <w:sz w:val="34"/>
          <w:szCs w:val="34"/>
          <w:rtl w:val="0"/>
        </w:rPr>
        <w:t xml:space="preserve">7. Prochaines Étapes (Vers la Phase 3 : MVP Design Library &amp; Application)</w:t>
      </w:r>
    </w:p>
    <w:p w:rsidR="00000000" w:rsidDel="00000000" w:rsidP="00000000" w:rsidRDefault="00000000" w:rsidRPr="00000000" w14:paraId="00000025">
      <w:pPr>
        <w:spacing w:after="240" w:before="240" w:lineRule="auto"/>
        <w:rPr/>
      </w:pPr>
      <w:r w:rsidDel="00000000" w:rsidR="00000000" w:rsidRPr="00000000">
        <w:rPr>
          <w:rtl w:val="0"/>
        </w:rPr>
        <w:t xml:space="preserve">Avec les fondations (Design Tokens, architecture LTR/RTL, modes Clair/Sombre) validées et documentées, nous sommes prêts à entamer la Phase 3. L'objectif sera de construire la première version fonctionnelle de la bibliothèque Iksir et de valider sa robustesse sur des cas d'usage réels des produits Datamaster.</w:t>
      </w:r>
    </w:p>
    <w:p w:rsidR="00000000" w:rsidDel="00000000" w:rsidP="00000000" w:rsidRDefault="00000000" w:rsidRPr="00000000" w14:paraId="00000026">
      <w:pPr>
        <w:spacing w:after="240" w:before="240" w:lineRule="auto"/>
        <w:rPr/>
      </w:pPr>
      <w:r w:rsidDel="00000000" w:rsidR="00000000" w:rsidRPr="00000000">
        <w:rPr>
          <w:rtl w:val="0"/>
        </w:rPr>
        <w:t xml:space="preserve">Nos travaux se concentreront sur les axes suivants :</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Conception des Composants (Components) :</w:t>
      </w:r>
      <w:r w:rsidDel="00000000" w:rsidR="00000000" w:rsidRPr="00000000">
        <w:rPr>
          <w:rtl w:val="0"/>
        </w:rPr>
        <w:t xml:space="preserve"> Création de l'inventaire UI dans Figma en appliquant strictement nos Design Tokens. Les composants incluront toutes leurs variantes et états (Défaut, Survol, Désactivé, Erreur, Chargement). Cela couvrira les éléments basiques (boutons, inputs, badges), structurels (cartes, conteneurs) et complexes (tableaux de données critiques pour l'ERP, fenêtres modales, pagination).</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Définition des Modèles (Patterns) :</w:t>
      </w:r>
      <w:r w:rsidDel="00000000" w:rsidR="00000000" w:rsidRPr="00000000">
        <w:rPr>
          <w:rtl w:val="0"/>
        </w:rPr>
        <w:t xml:space="preserve"> Standardisation des comportements UX récurrents pour garantir une expérience fluide. Cela inclut les flux de données (CRUD), les règles de validation et retours système (messages d'erreur, toasts), ainsi que les modèles d'interaction pour la recherche et le filtrage multicritères.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Gabarits de Mise en Page (Templates) :</w:t>
      </w:r>
      <w:r w:rsidDel="00000000" w:rsidR="00000000" w:rsidRPr="00000000">
        <w:rPr>
          <w:rtl w:val="0"/>
        </w:rPr>
        <w:t xml:space="preserve"> Création de structures de pages "prêtes à l'emploi" pour accélérer le design et le développement. Nous définirons des gabarits pour les vues listes/tableaux de bord, les formulaires complexes (ex. assistants étape par étape) et les pages de détails (Master-Detail).</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Application sur des Écrans Réels (Screens Examples) :</w:t>
      </w:r>
      <w:r w:rsidDel="00000000" w:rsidR="00000000" w:rsidRPr="00000000">
        <w:rPr>
          <w:rtl w:val="0"/>
        </w:rPr>
        <w:t xml:space="preserve"> Phase de validation (Proof of Concept) visant à éprouver le Design System. Nous sélectionnerons 2 à 3 écrans complexes de l'ERP actuel pour les reconstruire entièrement avec la bibliothèque Iksir. Nous effectuerons des tests de contrainte (Stress Tests) pour vérifier que le mode Sombre (Dark Mode) et le basculement en Arabe (RTL) fonctionnent parfaitement en conditions réelles.</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bB66cAP4iQZM_vbQA2vV-_fV659N76gyqt16sj9uXao/edit?usp=sharing" TargetMode="External"/><Relationship Id="rId7" Type="http://schemas.openxmlformats.org/officeDocument/2006/relationships/hyperlink" Target="https://www.figma.com/design/m34FtFoerHlCh3Pe50QyL3/Iksir-Design-Library?node-id=1-2&amp;t=dZvivbJc7gOL8yKJ-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