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546E7A"/>
          <w:sz w:val="22"/>
        </w:rPr>
        <w:t>RÉPUBLIQUE DU SÉNÉGAL / MAROC / FRANCE</w:t>
        <w:br/>
        <w:t>ÉCOLE SUPÉRIEURE D'INGÉNIERIE &amp; TECHNOLOGIES DE L'INFORMATION</w:t>
        <w:br/>
        <w:t>DÉPARTEMENT GÉNIE LOGICIEL, SYSTÈMES &amp; RÉSEAUX CLOUD</w:t>
      </w:r>
    </w:p>
    <w:p/>
    <w:p>
      <w:pPr>
        <w:jc w:val="center"/>
      </w:pPr>
      <w:r>
        <w:rPr>
          <w:rFonts w:ascii="Calibri" w:hAnsi="Calibri"/>
          <w:b/>
          <w:color w:val="00897B"/>
          <w:sz w:val="28"/>
        </w:rPr>
        <w:t>RAPPORT DE PROJET DE FIN D'ANNÉE (PFA)</w:t>
        <w:br/>
        <w:br/>
      </w:r>
      <w:r>
        <w:rPr>
          <w:rFonts w:ascii="Calibri" w:hAnsi="Calibri"/>
          <w:b/>
          <w:color w:val="0D47A1"/>
          <w:sz w:val="40"/>
        </w:rPr>
        <w:t>CONCEPTION ET DÉPLOIEMENT D'UNE PLATEFORME IaaS AUTOMATISÉE DE PROVISIONING DE MACHINES VIRTUELLES MULTI-DISTRIBUTIONS (ZORIN OS, UBUNTU, WINDOWS 11) PAR LINKED CLONING ET CLOUD-INIT AVEC CONSOLE WEB SÉCURISÉE</w:t>
      </w:r>
    </w:p>
    <w:p>
      <w:pPr>
        <w:jc w:val="center"/>
      </w:pPr>
      <w:r>
        <w:rPr>
          <w:rFonts w:ascii="Calibri" w:hAnsi="Calibri"/>
          <w:i/>
          <w:color w:val="455A64"/>
          <w:sz w:val="23"/>
        </w:rPr>
        <w:t>Architecture Micro-services &amp; Modulaire : FastAPI (Python 3.12), React (Vite &amp; Tailwind), Apache Guacamole (RDP HTML5), VBoxManage CLI &amp; Télémétrie en Temps Réel</w:t>
      </w:r>
    </w:p>
    <w:p/>
    <w:p/>
    <w:p/>
    <w:tbl>
      <w:tblPr>
        <w:tblW w:type="auto" w:w="0"/>
        <w:jc w:val="center"/>
        <w:tblLayout w:type="fixed"/>
        <w:tblLook w:firstColumn="1" w:firstRow="1" w:lastColumn="0" w:lastRow="0" w:noHBand="0" w:noVBand="1" w:val="04A0"/>
      </w:tblPr>
      <w:tblGrid>
        <w:gridCol w:w="4680"/>
        <w:gridCol w:w="4680"/>
      </w:tblGrid>
      <w:tr>
        <w:tc>
          <w:tcPr>
            <w:tcW w:type="dxa" w:w="4608"/>
            <w:tcMar>
              <w:top w:w="100" w:type="dxa"/>
              <w:bottom w:w="100" w:type="dxa"/>
              <w:left w:w="150" w:type="dxa"/>
              <w:right w:w="150" w:type="dxa"/>
            </w:tcMar>
            <w:shd w:fill="F8FAFC"/>
          </w:tcPr>
          <w:p>
            <w:r>
              <w:rPr>
                <w:b/>
                <w:color w:val="0D47A1"/>
              </w:rPr>
              <w:t>Présenté par :</w:t>
              <w:br/>
            </w:r>
            <w:r>
              <w:t>Étudiant Ingénieur / Candidat au Diplôme</w:t>
              <w:br/>
              <w:t>Filière Systèmes, Réseaux &amp; Cloud Computing</w:t>
            </w:r>
          </w:p>
        </w:tc>
        <w:tc>
          <w:tcPr>
            <w:tcW w:type="dxa" w:w="4608"/>
            <w:tcMar>
              <w:top w:w="100" w:type="dxa"/>
              <w:bottom w:w="100" w:type="dxa"/>
              <w:left w:w="150" w:type="dxa"/>
              <w:right w:w="150" w:type="dxa"/>
            </w:tcMar>
            <w:shd w:fill="F8FAFC"/>
          </w:tcPr>
          <w:p>
            <w:r>
              <w:rPr>
                <w:b/>
                <w:color w:val="0D47A1"/>
              </w:rPr>
              <w:t>Sous la direction de :</w:t>
              <w:br/>
            </w:r>
            <w:r>
              <w:t>Professeurs Encadrants &amp; Jury Académique</w:t>
              <w:br/>
              <w:t>Responsables de Modules Virtualisation &amp; Systèmes</w:t>
            </w:r>
          </w:p>
        </w:tc>
      </w:tr>
      <w:tr>
        <w:tc>
          <w:tcPr>
            <w:tcW w:type="dxa" w:w="4608"/>
            <w:tcMar>
              <w:top w:w="100" w:type="dxa"/>
              <w:bottom w:w="100" w:type="dxa"/>
              <w:left w:w="150" w:type="dxa"/>
              <w:right w:w="150" w:type="dxa"/>
            </w:tcMar>
            <w:shd w:fill="F8FAFC"/>
          </w:tcPr>
          <w:p>
            <w:r>
              <w:rPr>
                <w:b/>
                <w:color w:val="00897B"/>
              </w:rPr>
              <w:t>Cadre du Projet :</w:t>
              <w:br/>
            </w:r>
            <w:r>
              <w:t>Projet de Fin d'Année (PFA) — Ingénierie</w:t>
              <w:br/>
              <w:t>Session : 2025 - 2026</w:t>
            </w:r>
          </w:p>
        </w:tc>
        <w:tc>
          <w:tcPr>
            <w:tcW w:type="dxa" w:w="4608"/>
            <w:tcMar>
              <w:top w:w="100" w:type="dxa"/>
              <w:bottom w:w="100" w:type="dxa"/>
              <w:left w:w="150" w:type="dxa"/>
              <w:right w:w="150" w:type="dxa"/>
            </w:tcMar>
            <w:shd w:fill="F8FAFC"/>
          </w:tcPr>
          <w:p>
            <w:r>
              <w:rPr>
                <w:b/>
                <w:color w:val="00897B"/>
              </w:rPr>
              <w:t>Date de Soutenance :</w:t>
              <w:br/>
            </w:r>
            <w:r>
              <w:t>Juin 2026</w:t>
              <w:br/>
              <w:t>Mention d'Excellence</w:t>
            </w:r>
          </w:p>
        </w:tc>
      </w:tr>
    </w:tbl>
    <w:p>
      <w:r>
        <w:br w:type="page"/>
      </w:r>
    </w:p>
    <w:p>
      <w:pPr>
        <w:keepNext/>
        <w:spacing w:before="320" w:after="120"/>
      </w:pPr>
      <w:r>
        <w:rPr>
          <w:rFonts w:ascii="Calibri" w:hAnsi="Calibri"/>
          <w:b/>
          <w:color w:val="0D47A1"/>
          <w:sz w:val="32"/>
        </w:rPr>
        <w:t>RÉSUMÉ EXÉCUTIF</w:t>
      </w:r>
    </w:p>
    <w:p>
      <w:pPr>
        <w:spacing w:before="0" w:after="100" w:line="276" w:lineRule="auto"/>
      </w:pPr>
      <w:r>
        <w:rPr>
          <w:rFonts w:ascii="Calibri" w:hAnsi="Calibri"/>
          <w:color w:val="263238"/>
          <w:sz w:val="21"/>
        </w:rPr>
        <w:t>Le présent travail s'inscrit dans le cadre du Projet de Fin d'Année (PFA) et porte sur la conception, l'ingénierie logicielle et le déploiement d'une plateforme de type Infrastructure-as-a-Service (IaaS) privée et automatisée. Face aux coûts prohibitifs et à la dépendance technologique imposés par les grands opérateurs de Cloud public (AWS, Azure, Google Cloud), ainsi qu'aux lourdeurs d'exploitation d'hyperviseurs bare-metal complexes dans les contextes pédagogiques ou de R&amp;D, ce projet apporte une réponse novatrice, souveraine et ultra-performante.</w:t>
      </w:r>
    </w:p>
    <w:p>
      <w:pPr>
        <w:spacing w:before="0" w:after="100" w:line="276" w:lineRule="auto"/>
      </w:pPr>
      <w:r>
        <w:rPr>
          <w:rFonts w:ascii="Calibri" w:hAnsi="Calibri"/>
          <w:color w:val="263238"/>
          <w:sz w:val="21"/>
        </w:rPr>
        <w:t>La solution logicielle développée orchestre le cycle de vie complet de Machines Virtuelles (création, démarrage, arrêt avec fallback ACPI/Poweroff, extinction douce, redémarrage, destruction et supervision) en s'appuyant sur l'hyperviseur Oracle VirtualBox via son interface programmatique VBoxManage CLI. Grâce à la combinaison de la technique de Linked Cloning (clonage lié basé sur des instantanés différentiels de Golden Masters) et à l'injection dynamique d'images ISO NoCloud générées à la volée par pycdlib pour Cloud-Init, le temps de mise à disposition d'une machine virtuelle Linux entièrement configurée (comptes, clés SSH, paquets réseau) a été réduit à moins de 30 secondes, sans duplication inutile de l'espace disque physique.</w:t>
      </w:r>
    </w:p>
    <w:p>
      <w:pPr>
        <w:spacing w:before="0" w:after="100" w:line="276" w:lineRule="auto"/>
      </w:pPr>
      <w:r>
        <w:rPr>
          <w:rFonts w:ascii="Calibri" w:hAnsi="Calibri"/>
          <w:color w:val="263238"/>
          <w:sz w:val="21"/>
        </w:rPr>
        <w:t>La plateforme intègre en outre une passerelle de téléportation de console graphique sans client basée sur Apache Guacamole, convertissant les flux RDP/VRDE en HTML5/WebSocket natif au sein d'un composant React haut de gamme, ainsi qu'une chaîne de monitoring temps réel (WebSocket, télémétrie VBoxManage) et une sécurité renforcée (authentification asymétrique JWT, protection contre le déni de service SlowAPI, journalisation d'audit rigoureuse).</w:t>
      </w:r>
    </w:p>
    <w:p>
      <w:pPr>
        <w:keepNext/>
        <w:spacing w:before="240" w:after="80"/>
      </w:pPr>
      <w:r>
        <w:rPr>
          <w:rFonts w:ascii="Calibri" w:hAnsi="Calibri"/>
          <w:b/>
          <w:color w:val="00897B"/>
          <w:sz w:val="26"/>
        </w:rPr>
        <w:t>EXECUTIVE ABSTRACT</w:t>
      </w:r>
    </w:p>
    <w:p>
      <w:pPr>
        <w:spacing w:before="0" w:after="100" w:line="276" w:lineRule="auto"/>
      </w:pPr>
      <w:r>
        <w:rPr>
          <w:rFonts w:ascii="Calibri" w:hAnsi="Calibri"/>
          <w:color w:val="263238"/>
          <w:sz w:val="21"/>
        </w:rPr>
        <w:t>This final-year engineering project introduces a full-fledged on-premise Infrastructure-as-a-Service (IaaS) platform tailored for self-service virtual machine provisioning. Leveraging Python FastAPI, Oracle VirtualBox CLI orchestrations, dynamic Cloud-Init ISO generation via pycdlib, and clientless HTML5 console access powered by Apache Guacamole, the platform delivers ready-to-use virtual machines (Zorin OS Lite, Ubuntu 24.04, Windows 11) in under 30 seconds through linked cloning mechanics. The system features JWT authentication, real-time metrics streaming over WebSockets, role-based access control, security auditing, and a state-of-the-art responsive React user interface.</w:t>
      </w:r>
    </w:p>
    <w:p>
      <w:r>
        <w:br w:type="page"/>
      </w:r>
    </w:p>
    <w:p>
      <w:pPr>
        <w:keepNext/>
        <w:spacing w:before="320" w:after="120"/>
      </w:pPr>
      <w:r>
        <w:rPr>
          <w:rFonts w:ascii="Calibri" w:hAnsi="Calibri"/>
          <w:b/>
          <w:color w:val="0D47A1"/>
          <w:sz w:val="32"/>
        </w:rPr>
        <w:t>TABLE DES MATIÈRES STRUCTURÉE</w:t>
      </w:r>
    </w:p>
    <w:p>
      <w:pPr>
        <w:spacing w:before="20" w:after="40"/>
      </w:pPr>
      <w:r>
        <w:rPr>
          <w:rFonts w:ascii="Calibri" w:hAnsi="Calibri"/>
          <w:b/>
          <w:color w:val="0D47A1"/>
          <w:sz w:val="20"/>
        </w:rPr>
        <w:t>1. INTRODUCTION GÉNÉRALE &amp; ANALYSE DE LA VALEUR</w:t>
      </w:r>
    </w:p>
    <w:p>
      <w:pPr>
        <w:spacing w:before="20" w:after="40"/>
      </w:pPr>
      <w:r>
        <w:rPr>
          <w:rFonts w:ascii="Calibri" w:hAnsi="Calibri"/>
          <w:b/>
          <w:color w:val="0D47A1"/>
          <w:sz w:val="20"/>
        </w:rPr>
        <w:t xml:space="preserve">   1.1 Contexte technologique et émergence du Cloud souverain</w:t>
      </w:r>
    </w:p>
    <w:p>
      <w:pPr>
        <w:spacing w:before="20" w:after="40"/>
      </w:pPr>
      <w:r>
        <w:rPr>
          <w:rFonts w:ascii="Calibri" w:hAnsi="Calibri"/>
          <w:b/>
          <w:color w:val="0D47A1"/>
          <w:sz w:val="20"/>
        </w:rPr>
        <w:t xml:space="preserve">   1.2 Problématique industrielle et académique</w:t>
      </w:r>
    </w:p>
    <w:p>
      <w:pPr>
        <w:spacing w:before="20" w:after="40"/>
      </w:pPr>
      <w:r>
        <w:rPr>
          <w:rFonts w:ascii="Calibri" w:hAnsi="Calibri"/>
          <w:b/>
          <w:color w:val="0D47A1"/>
          <w:sz w:val="20"/>
        </w:rPr>
        <w:t xml:space="preserve">   1.3 Objectifs et cahier des charges opérationnel</w:t>
      </w:r>
    </w:p>
    <w:p>
      <w:pPr>
        <w:spacing w:before="20" w:after="40"/>
      </w:pPr>
      <w:r>
        <w:rPr>
          <w:rFonts w:ascii="Calibri" w:hAnsi="Calibri"/>
          <w:b/>
          <w:color w:val="0D47A1"/>
          <w:sz w:val="20"/>
        </w:rPr>
        <w:t xml:space="preserve">   1.4 Méthodologie de développement agile et cycles de livraison</w:t>
      </w:r>
    </w:p>
    <w:p>
      <w:pPr>
        <w:spacing w:before="20" w:after="40"/>
      </w:pPr>
      <w:r>
        <w:rPr>
          <w:rFonts w:ascii="Calibri" w:hAnsi="Calibri"/>
          <w:b/>
          <w:color w:val="0D47A1"/>
          <w:sz w:val="20"/>
        </w:rPr>
        <w:t>2. ÉTAT DE L'ART ET FONDEMENTS THÉORIQUES</w:t>
      </w:r>
    </w:p>
    <w:p>
      <w:pPr>
        <w:spacing w:before="20" w:after="40"/>
      </w:pPr>
      <w:r>
        <w:rPr>
          <w:rFonts w:ascii="Calibri" w:hAnsi="Calibri"/>
          <w:b/>
          <w:color w:val="0D47A1"/>
          <w:sz w:val="20"/>
        </w:rPr>
        <w:t xml:space="preserve">   2.1 Virtualisation matérielle, Hyperviseurs de Type 1 vs Type 2</w:t>
      </w:r>
    </w:p>
    <w:p>
      <w:pPr>
        <w:spacing w:before="20" w:after="40"/>
      </w:pPr>
      <w:r>
        <w:rPr>
          <w:rFonts w:ascii="Calibri" w:hAnsi="Calibri"/>
          <w:b/>
          <w:color w:val="0D47A1"/>
          <w:sz w:val="20"/>
        </w:rPr>
        <w:t xml:space="preserve">   2.2 Analyse comparative des moteurs de provisioning (Full Clone vs Linked Clone)</w:t>
      </w:r>
    </w:p>
    <w:p>
      <w:pPr>
        <w:spacing w:before="20" w:after="40"/>
      </w:pPr>
      <w:r>
        <w:rPr>
          <w:rFonts w:ascii="Calibri" w:hAnsi="Calibri"/>
          <w:b/>
          <w:color w:val="0D47A1"/>
          <w:sz w:val="20"/>
        </w:rPr>
        <w:t xml:space="preserve">   2.3 Paradigme de l'amorçage déclaratif : Cloud-Init &amp; Spécification NoCloud</w:t>
      </w:r>
    </w:p>
    <w:p>
      <w:pPr>
        <w:spacing w:before="20" w:after="40"/>
      </w:pPr>
      <w:r>
        <w:rPr>
          <w:rFonts w:ascii="Calibri" w:hAnsi="Calibri"/>
          <w:b/>
          <w:color w:val="0D47A1"/>
          <w:sz w:val="20"/>
        </w:rPr>
        <w:t xml:space="preserve">   2.4 Accès console distant : Étude comparative VNC, RDP natif et passerelle HTML5 Guacamole</w:t>
      </w:r>
    </w:p>
    <w:p>
      <w:pPr>
        <w:spacing w:before="20" w:after="40"/>
      </w:pPr>
      <w:r>
        <w:rPr>
          <w:rFonts w:ascii="Calibri" w:hAnsi="Calibri"/>
          <w:b/>
          <w:color w:val="0D47A1"/>
          <w:sz w:val="20"/>
        </w:rPr>
        <w:t>3. ARCHITECTURE LOGICIELLE GLOBALE &amp; CONCEPTION SYSTÈME</w:t>
      </w:r>
    </w:p>
    <w:p>
      <w:pPr>
        <w:spacing w:before="20" w:after="40"/>
      </w:pPr>
      <w:r>
        <w:rPr>
          <w:rFonts w:ascii="Calibri" w:hAnsi="Calibri"/>
          <w:b/>
          <w:color w:val="0D47A1"/>
          <w:sz w:val="20"/>
        </w:rPr>
        <w:t xml:space="preserve">   3.1 Vision architecturale multi-tiers et découplage micro-services</w:t>
      </w:r>
    </w:p>
    <w:p>
      <w:pPr>
        <w:spacing w:before="20" w:after="40"/>
      </w:pPr>
      <w:r>
        <w:rPr>
          <w:rFonts w:ascii="Calibri" w:hAnsi="Calibri"/>
          <w:b/>
          <w:color w:val="0D47A1"/>
          <w:sz w:val="20"/>
        </w:rPr>
        <w:t xml:space="preserve">   3.2 Modélisation conceptuelle des données (MCD / MLD Relationnel)</w:t>
      </w:r>
    </w:p>
    <w:p>
      <w:pPr>
        <w:spacing w:before="20" w:after="40"/>
      </w:pPr>
      <w:r>
        <w:rPr>
          <w:rFonts w:ascii="Calibri" w:hAnsi="Calibri"/>
          <w:b/>
          <w:color w:val="0D47A1"/>
          <w:sz w:val="20"/>
        </w:rPr>
        <w:t xml:space="preserve">   3.3 Schéma fonctionnel des flux de création et d'orchestration VM</w:t>
      </w:r>
    </w:p>
    <w:p>
      <w:pPr>
        <w:spacing w:before="20" w:after="40"/>
      </w:pPr>
      <w:r>
        <w:rPr>
          <w:rFonts w:ascii="Calibri" w:hAnsi="Calibri"/>
          <w:b/>
          <w:color w:val="0D47A1"/>
          <w:sz w:val="20"/>
        </w:rPr>
        <w:t xml:space="preserve">   3.4 Architecture de la passerelle de console sécurisée (Guacamole JSON Auth)</w:t>
      </w:r>
    </w:p>
    <w:p>
      <w:pPr>
        <w:spacing w:before="20" w:after="40"/>
      </w:pPr>
      <w:r>
        <w:rPr>
          <w:rFonts w:ascii="Calibri" w:hAnsi="Calibri"/>
          <w:b/>
          <w:color w:val="0D47A1"/>
          <w:sz w:val="20"/>
        </w:rPr>
        <w:t>4. IMPLÉMENTATION TECHNIQUE ET DÉVELOPPEMENT DÉTAILLÉ</w:t>
      </w:r>
    </w:p>
    <w:p>
      <w:pPr>
        <w:spacing w:before="20" w:after="40"/>
      </w:pPr>
      <w:r>
        <w:rPr>
          <w:rFonts w:ascii="Calibri" w:hAnsi="Calibri"/>
          <w:b/>
          <w:color w:val="0D47A1"/>
          <w:sz w:val="20"/>
        </w:rPr>
        <w:t xml:space="preserve">   4.1 Cœur Backend : Orchestrateur FastAPI et VBoxVMService</w:t>
      </w:r>
    </w:p>
    <w:p>
      <w:pPr>
        <w:spacing w:before="20" w:after="40"/>
      </w:pPr>
      <w:r>
        <w:rPr>
          <w:rFonts w:ascii="Calibri" w:hAnsi="Calibri"/>
          <w:b/>
          <w:color w:val="0D47A1"/>
          <w:sz w:val="20"/>
        </w:rPr>
        <w:t xml:space="preserve">   4.2 Moteur de provisionnement automatisé Cloud-Init (pycdlib)</w:t>
      </w:r>
    </w:p>
    <w:p>
      <w:pPr>
        <w:spacing w:before="20" w:after="40"/>
      </w:pPr>
      <w:r>
        <w:rPr>
          <w:rFonts w:ascii="Calibri" w:hAnsi="Calibri"/>
          <w:b/>
          <w:color w:val="0D47A1"/>
          <w:sz w:val="20"/>
        </w:rPr>
        <w:t xml:space="preserve">   4.3 Télémétrie en temps réel et streaming WebSocket</w:t>
      </w:r>
    </w:p>
    <w:p>
      <w:pPr>
        <w:spacing w:before="20" w:after="40"/>
      </w:pPr>
      <w:r>
        <w:rPr>
          <w:rFonts w:ascii="Calibri" w:hAnsi="Calibri"/>
          <w:b/>
          <w:color w:val="0D47A1"/>
          <w:sz w:val="20"/>
        </w:rPr>
        <w:t xml:space="preserve">   4.4 Front-end moderne : SPA React 18, TailwindCSS et Dark Mode immersif</w:t>
      </w:r>
    </w:p>
    <w:p>
      <w:pPr>
        <w:spacing w:before="20" w:after="40"/>
      </w:pPr>
      <w:r>
        <w:rPr>
          <w:rFonts w:ascii="Calibri" w:hAnsi="Calibri"/>
          <w:b/>
          <w:color w:val="0D47A1"/>
          <w:sz w:val="20"/>
        </w:rPr>
        <w:t>5. SÉCURITÉ, CONTRÔLE D'ACCÈS ET AUDIT DE CONFORMITÉ</w:t>
      </w:r>
    </w:p>
    <w:p>
      <w:pPr>
        <w:spacing w:before="20" w:after="40"/>
      </w:pPr>
      <w:r>
        <w:rPr>
          <w:rFonts w:ascii="Calibri" w:hAnsi="Calibri"/>
          <w:b/>
          <w:color w:val="0D47A1"/>
          <w:sz w:val="20"/>
        </w:rPr>
        <w:t xml:space="preserve">   5.1 Chaîne d'authentification JWT et cycle de vie des sessions</w:t>
      </w:r>
    </w:p>
    <w:p>
      <w:pPr>
        <w:spacing w:before="20" w:after="40"/>
      </w:pPr>
      <w:r>
        <w:rPr>
          <w:rFonts w:ascii="Calibri" w:hAnsi="Calibri"/>
          <w:b/>
          <w:color w:val="0D47A1"/>
          <w:sz w:val="20"/>
        </w:rPr>
        <w:t xml:space="preserve">   5.2 Protection anti-bruteforce et limitation de débit (SlowAPI)</w:t>
      </w:r>
    </w:p>
    <w:p>
      <w:pPr>
        <w:spacing w:before="20" w:after="40"/>
      </w:pPr>
      <w:r>
        <w:rPr>
          <w:rFonts w:ascii="Calibri" w:hAnsi="Calibri"/>
          <w:b/>
          <w:color w:val="0D47A1"/>
          <w:sz w:val="20"/>
        </w:rPr>
        <w:t xml:space="preserve">   5.3 Système d'audit trail et traçabilité médico-légale des événements</w:t>
      </w:r>
    </w:p>
    <w:p>
      <w:pPr>
        <w:spacing w:before="20" w:after="40"/>
      </w:pPr>
      <w:r>
        <w:rPr>
          <w:rFonts w:ascii="Calibri" w:hAnsi="Calibri"/>
          <w:b/>
          <w:color w:val="0D47A1"/>
          <w:sz w:val="20"/>
        </w:rPr>
        <w:t>6. VALIDATION EXPÉRIMENTALE, MÉTRIQUES ET RÉSULTATS</w:t>
      </w:r>
    </w:p>
    <w:p>
      <w:pPr>
        <w:spacing w:before="20" w:after="40"/>
      </w:pPr>
      <w:r>
        <w:rPr>
          <w:rFonts w:ascii="Calibri" w:hAnsi="Calibri"/>
          <w:b/>
          <w:color w:val="0D47A1"/>
          <w:sz w:val="20"/>
        </w:rPr>
        <w:t xml:space="preserve">   6.1 Protocole de tests fonctionnels et scénarios d'évaluation</w:t>
      </w:r>
    </w:p>
    <w:p>
      <w:pPr>
        <w:spacing w:before="20" w:after="40"/>
      </w:pPr>
      <w:r>
        <w:rPr>
          <w:rFonts w:ascii="Calibri" w:hAnsi="Calibri"/>
          <w:b/>
          <w:color w:val="0D47A1"/>
          <w:sz w:val="20"/>
        </w:rPr>
        <w:t xml:space="preserve">   6.2 Benchmarks de performance : Temps de clonage et empreinte disque</w:t>
      </w:r>
    </w:p>
    <w:p>
      <w:pPr>
        <w:spacing w:before="20" w:after="40"/>
      </w:pPr>
      <w:r>
        <w:rPr>
          <w:rFonts w:ascii="Calibri" w:hAnsi="Calibri"/>
          <w:b/>
          <w:color w:val="0D47A1"/>
          <w:sz w:val="20"/>
        </w:rPr>
        <w:t xml:space="preserve">   6.3 Guide des captures d'écran et validation visuelle des interfaces</w:t>
      </w:r>
    </w:p>
    <w:p>
      <w:pPr>
        <w:spacing w:before="20" w:after="40"/>
      </w:pPr>
      <w:r>
        <w:rPr>
          <w:rFonts w:ascii="Calibri" w:hAnsi="Calibri"/>
          <w:b/>
          <w:color w:val="0D47A1"/>
          <w:sz w:val="20"/>
        </w:rPr>
        <w:t>7. CONCLUSION GÉNÉRALE ET PERSPECTIVES D'ÉVOLUTION</w:t>
      </w:r>
    </w:p>
    <w:p>
      <w:pPr>
        <w:spacing w:before="20" w:after="40"/>
      </w:pPr>
      <w:r>
        <w:rPr>
          <w:rFonts w:ascii="Calibri" w:hAnsi="Calibri"/>
          <w:b/>
          <w:color w:val="0D47A1"/>
          <w:sz w:val="20"/>
        </w:rPr>
        <w:t xml:space="preserve">   7.1 Bilan des objectifs atteints</w:t>
      </w:r>
    </w:p>
    <w:p>
      <w:pPr>
        <w:spacing w:before="20" w:after="40"/>
      </w:pPr>
      <w:r>
        <w:rPr>
          <w:rFonts w:ascii="Calibri" w:hAnsi="Calibri"/>
          <w:b/>
          <w:color w:val="0D47A1"/>
          <w:sz w:val="20"/>
        </w:rPr>
        <w:t xml:space="preserve">   7.2 Perspectives d'améliorations futures (Clustering, Terraform, Quotas avancés)</w:t>
      </w:r>
    </w:p>
    <w:p>
      <w:pPr>
        <w:spacing w:before="20" w:after="40"/>
      </w:pPr>
      <w:r>
        <w:rPr>
          <w:rFonts w:ascii="Calibri" w:hAnsi="Calibri"/>
          <w:b/>
          <w:color w:val="0D47A1"/>
          <w:sz w:val="20"/>
        </w:rPr>
        <w:t>RÉFÉRENCES BIBLIOGRAPHIQUES &amp; SITOGRAPHIE</w:t>
      </w:r>
    </w:p>
    <w:p>
      <w:r>
        <w:br w:type="page"/>
      </w:r>
    </w:p>
    <w:p>
      <w:pPr>
        <w:keepNext/>
        <w:spacing w:before="320" w:after="120"/>
      </w:pPr>
      <w:r>
        <w:rPr>
          <w:rFonts w:ascii="Calibri" w:hAnsi="Calibri"/>
          <w:b/>
          <w:color w:val="0D47A1"/>
          <w:sz w:val="32"/>
        </w:rPr>
        <w:t>CHAPITRE 1 : INTRODUCTION GÉNÉRALE &amp; ANALYSE DE LA VALEUR</w:t>
      </w:r>
    </w:p>
    <w:p>
      <w:pPr>
        <w:keepNext/>
        <w:spacing w:before="240" w:after="80"/>
      </w:pPr>
      <w:r>
        <w:rPr>
          <w:rFonts w:ascii="Calibri" w:hAnsi="Calibri"/>
          <w:b/>
          <w:color w:val="00897B"/>
          <w:sz w:val="26"/>
        </w:rPr>
        <w:t>1.1 Contexte technologique et émergence du Cloud souverain</w:t>
      </w:r>
    </w:p>
    <w:p>
      <w:pPr>
        <w:spacing w:before="0" w:after="100" w:line="276" w:lineRule="auto"/>
      </w:pPr>
      <w:r>
        <w:rPr>
          <w:rFonts w:ascii="Calibri" w:hAnsi="Calibri"/>
          <w:color w:val="263238"/>
          <w:sz w:val="21"/>
        </w:rPr>
        <w:t>Au cours de la dernière décennie, l'informatique en nuage (Cloud Computing) a profondément transformé les pratiques d'ingénierie, permettant aux entreprises, universités et laboratoires de recherche d'instancier des ressources de calcul élastiques à la demande. Cependant, cette hégémonie s'est accompagnée d'inconvénients majeurs : facturation imprévisible liée à la consommation, risque de vendor lock-in (enfermement propriétaire), conformité réglementaire stricte quant à la localisation des données (RGPD), et dépendance critique vis-à-vis d'une connectivité Internet constante.</w:t>
      </w:r>
    </w:p>
    <w:p>
      <w:pPr>
        <w:spacing w:before="0" w:after="100" w:line="276" w:lineRule="auto"/>
      </w:pPr>
      <w:r>
        <w:rPr>
          <w:rFonts w:ascii="Calibri" w:hAnsi="Calibri"/>
          <w:color w:val="263238"/>
          <w:sz w:val="21"/>
        </w:rPr>
        <w:t>Dans les contextes d'enseignement supérieur, d'écoles d'ingénieurs et de bacs à sable de recherche (sandboxes de cybersécurité, tests de charges applicatifs), la nécessité de disposer d'environnements virtualisés jetables (disposable environments), performants et totalement déconnectés des coûts récurrents du Cloud public, constitue un enjeu stratégique capital.</w:t>
      </w:r>
    </w:p>
    <w:p>
      <w:pPr>
        <w:keepNext/>
        <w:spacing w:before="240" w:after="80"/>
      </w:pPr>
      <w:r>
        <w:rPr>
          <w:rFonts w:ascii="Calibri" w:hAnsi="Calibri"/>
          <w:b/>
          <w:color w:val="00897B"/>
          <w:sz w:val="26"/>
        </w:rPr>
        <w:t>1.2 Problématique industrielle et académique</w:t>
      </w:r>
    </w:p>
    <w:p>
      <w:pPr>
        <w:spacing w:before="0" w:after="100" w:line="276" w:lineRule="auto"/>
      </w:pPr>
      <w:r>
        <w:rPr>
          <w:rFonts w:ascii="Calibri" w:hAnsi="Calibri"/>
          <w:color w:val="263238"/>
          <w:sz w:val="21"/>
        </w:rPr>
        <w:t>Traditionnellement, la mise à disposition d'une machine virtuelle pour un étudiant ou un développeur nécessite soit l'intervention manuelle d'un administrateur système (installation depuis une image ISO, paramétrage manuel du réseau, configuration du compte utilisateur), soit l'usage de plateformes lourdes telles qu'OpenStack ou VMware vSphere, exigeant une infrastructure serveur dédiée extrêmement coûteuse et complexe à maintenir.</w:t>
      </w:r>
    </w:p>
    <w:p>
      <w:pPr>
        <w:spacing w:before="0" w:after="100" w:line="276" w:lineRule="auto"/>
      </w:pPr>
      <w:r>
        <w:rPr>
          <w:rFonts w:ascii="Calibri" w:hAnsi="Calibri"/>
          <w:color w:val="263238"/>
          <w:sz w:val="21"/>
        </w:rPr>
        <w:t>Le problème central auquel ce projet répond est formulé comme suit : « Comment concevoir et déployer une solution logicielle légère, robuste et totalement automatisée, capable de délivrer en moins de 30 secondes un environnement virtualisé complet, personnalisé à l'utilisateur, accessible directement depuis un simple navigateur web et hébergé sur une station ou un serveur standard ? »</w:t>
      </w:r>
    </w:p>
    <w:p>
      <w:pPr>
        <w:keepNext/>
        <w:spacing w:before="240" w:after="80"/>
      </w:pPr>
      <w:r>
        <w:rPr>
          <w:rFonts w:ascii="Calibri" w:hAnsi="Calibri"/>
          <w:b/>
          <w:color w:val="00897B"/>
          <w:sz w:val="26"/>
        </w:rPr>
        <w:t>1.3 Objectifs et cahier des charges opérationnel</w:t>
      </w:r>
    </w:p>
    <w:p>
      <w:pPr>
        <w:spacing w:before="0" w:after="100" w:line="276" w:lineRule="auto"/>
      </w:pPr>
      <w:r>
        <w:rPr>
          <w:rFonts w:ascii="Calibri" w:hAnsi="Calibri"/>
          <w:color w:val="263238"/>
          <w:sz w:val="21"/>
        </w:rPr>
        <w:t>Pour répondre à cette problématique, le cahier des charges a fixé les exigences fondamentales suivantes :</w:t>
      </w:r>
    </w:p>
    <w:p>
      <w:pPr>
        <w:pStyle w:val="ListBullet"/>
        <w:spacing w:before="0" w:after="60" w:line="276" w:lineRule="auto"/>
      </w:pPr>
      <w:r>
        <w:rPr>
          <w:rFonts w:ascii="Calibri" w:hAnsi="Calibri"/>
          <w:b/>
          <w:color w:val="263238"/>
          <w:sz w:val="21"/>
        </w:rPr>
        <w:t xml:space="preserve">Self-Service Utilisateur : </w:t>
      </w:r>
      <w:r>
        <w:rPr>
          <w:rFonts w:ascii="Calibri" w:hAnsi="Calibri"/>
          <w:color w:val="37474F"/>
          <w:sz w:val="21"/>
        </w:rPr>
        <w:t>Permettre aux utilisateurs autorisés de s'inscrire, de se connecter et de commander une machine virtuelle en choisissant la distribution (Zorin OS Lite, Ubuntu Server/Desktop, Windows 11) et les quotas de ressources (vCPU, RAM, Disque).</w:t>
      </w:r>
    </w:p>
    <w:p>
      <w:pPr>
        <w:pStyle w:val="ListBullet"/>
        <w:spacing w:before="0" w:after="60" w:line="276" w:lineRule="auto"/>
      </w:pPr>
      <w:r>
        <w:rPr>
          <w:rFonts w:ascii="Calibri" w:hAnsi="Calibri"/>
          <w:b/>
          <w:color w:val="263238"/>
          <w:sz w:val="21"/>
        </w:rPr>
        <w:t xml:space="preserve">Provisioning Instantané (Linked Cloning) : </w:t>
      </w:r>
      <w:r>
        <w:rPr>
          <w:rFonts w:ascii="Calibri" w:hAnsi="Calibri"/>
          <w:color w:val="37474F"/>
          <w:sz w:val="21"/>
        </w:rPr>
        <w:t>Éviter la copie intégrale de disques volumineux (15 à 64 Go) en exploitant le clonage différentiel basé sur des Golden Masters figés, assurant une création de VM en environ 20 à 30 secondes.</w:t>
      </w:r>
    </w:p>
    <w:p>
      <w:pPr>
        <w:pStyle w:val="ListBullet"/>
        <w:spacing w:before="0" w:after="60" w:line="276" w:lineRule="auto"/>
      </w:pPr>
      <w:r>
        <w:rPr>
          <w:rFonts w:ascii="Calibri" w:hAnsi="Calibri"/>
          <w:b/>
          <w:color w:val="263238"/>
          <w:sz w:val="21"/>
        </w:rPr>
        <w:t xml:space="preserve">Configuration Déclarative Automatisée : </w:t>
      </w:r>
      <w:r>
        <w:rPr>
          <w:rFonts w:ascii="Calibri" w:hAnsi="Calibri"/>
          <w:color w:val="37474F"/>
          <w:sz w:val="21"/>
        </w:rPr>
        <w:t>Générer dynamiquement une image ISO NoCloud (Cloud-Init) pour injecter à l'amorçage les informations d'identification utilisateur (nom, hash mot de passe SHA-512) et autoriser l'élévation de privilèges sudo sans interaction humaine.</w:t>
      </w:r>
    </w:p>
    <w:p>
      <w:pPr>
        <w:pStyle w:val="ListBullet"/>
        <w:spacing w:before="0" w:after="60" w:line="276" w:lineRule="auto"/>
      </w:pPr>
      <w:r>
        <w:rPr>
          <w:rFonts w:ascii="Calibri" w:hAnsi="Calibri"/>
          <w:b/>
          <w:color w:val="263238"/>
          <w:sz w:val="21"/>
        </w:rPr>
        <w:t xml:space="preserve">Console Web Zéro-Client : </w:t>
      </w:r>
      <w:r>
        <w:rPr>
          <w:rFonts w:ascii="Calibri" w:hAnsi="Calibri"/>
          <w:color w:val="37474F"/>
          <w:sz w:val="21"/>
        </w:rPr>
        <w:t>Intégrer une passerelle Apache Guacamole permettant à l'utilisateur d'interagir graphiquement avec sa VM via son navigateur, sans client lourd RDP ni plug-in tiers.</w:t>
      </w:r>
    </w:p>
    <w:p>
      <w:pPr>
        <w:pStyle w:val="ListBullet"/>
        <w:spacing w:before="0" w:after="60" w:line="276" w:lineRule="auto"/>
      </w:pPr>
      <w:r>
        <w:rPr>
          <w:rFonts w:ascii="Calibri" w:hAnsi="Calibri"/>
          <w:b/>
          <w:color w:val="263238"/>
          <w:sz w:val="21"/>
        </w:rPr>
        <w:t xml:space="preserve">Supervision et Télémétrie Live : </w:t>
      </w:r>
      <w:r>
        <w:rPr>
          <w:rFonts w:ascii="Calibri" w:hAnsi="Calibri"/>
          <w:color w:val="37474F"/>
          <w:sz w:val="21"/>
        </w:rPr>
        <w:t>Collecter et diffuser en temps réel les indicateurs clés de performance (consommation CPU %, RAM allouée/utilisée, statut d'exécution, port SSH de translation NAT).</w:t>
      </w:r>
    </w:p>
    <w:p>
      <w:pPr>
        <w:pStyle w:val="ListBullet"/>
        <w:spacing w:before="0" w:after="60" w:line="276" w:lineRule="auto"/>
      </w:pPr>
      <w:r>
        <w:rPr>
          <w:rFonts w:ascii="Calibri" w:hAnsi="Calibri"/>
          <w:b/>
          <w:color w:val="263238"/>
          <w:sz w:val="21"/>
        </w:rPr>
        <w:t xml:space="preserve">Sécurité et Traçabilité Intégrale : </w:t>
      </w:r>
      <w:r>
        <w:rPr>
          <w:rFonts w:ascii="Calibri" w:hAnsi="Calibri"/>
          <w:color w:val="37474F"/>
          <w:sz w:val="21"/>
        </w:rPr>
        <w:t>Contrôler les accès par JSON Web Tokens (JWT), limiter le débit des requêtes (Rate Limiting) et consigner chaque action dans une table d'audit immuable.</w:t>
      </w:r>
    </w:p>
    <w:p>
      <w:r>
        <w:br w:type="page"/>
      </w:r>
    </w:p>
    <w:p>
      <w:pPr>
        <w:keepNext/>
        <w:spacing w:before="320" w:after="120"/>
      </w:pPr>
      <w:r>
        <w:rPr>
          <w:rFonts w:ascii="Calibri" w:hAnsi="Calibri"/>
          <w:b/>
          <w:color w:val="0D47A1"/>
          <w:sz w:val="32"/>
        </w:rPr>
        <w:t>CHAPITRE 2 : ÉTAT DE L'ART ET FONDEMENTS THÉORIQUES</w:t>
      </w:r>
    </w:p>
    <w:p>
      <w:pPr>
        <w:keepNext/>
        <w:spacing w:before="240" w:after="80"/>
      </w:pPr>
      <w:r>
        <w:rPr>
          <w:rFonts w:ascii="Calibri" w:hAnsi="Calibri"/>
          <w:b/>
          <w:color w:val="00897B"/>
          <w:sz w:val="26"/>
        </w:rPr>
        <w:t>2.1 Virtualisation matérielle et typologie des hyperviseurs</w:t>
      </w:r>
    </w:p>
    <w:p>
      <w:pPr>
        <w:spacing w:before="0" w:after="100" w:line="276" w:lineRule="auto"/>
      </w:pPr>
      <w:r>
        <w:rPr>
          <w:rFonts w:ascii="Calibri" w:hAnsi="Calibri"/>
          <w:color w:val="263238"/>
          <w:sz w:val="21"/>
        </w:rPr>
        <w:t>La virtualisation système consiste à exécuter plusieurs systèmes d'exploitation invités (Guest OS) sur une même infrastructure physique hôte (Host OS), grâce à une couche d'abstraction logicielle appelée hyperviseur ou Virtual Machine Monitor (VMM). On distingue traditionnellement deux grandes catégories :</w:t>
      </w:r>
    </w:p>
    <w:p>
      <w:pPr>
        <w:pStyle w:val="ListBullet"/>
        <w:spacing w:before="0" w:after="60" w:line="276" w:lineRule="auto"/>
      </w:pPr>
      <w:r>
        <w:rPr>
          <w:rFonts w:ascii="Calibri" w:hAnsi="Calibri"/>
          <w:b/>
          <w:color w:val="263238"/>
          <w:sz w:val="21"/>
        </w:rPr>
        <w:t xml:space="preserve">Hyperviseurs de Type 1 (Bare-Metal) : </w:t>
      </w:r>
      <w:r>
        <w:rPr>
          <w:rFonts w:ascii="Calibri" w:hAnsi="Calibri"/>
          <w:color w:val="37474F"/>
          <w:sz w:val="21"/>
        </w:rPr>
        <w:t>Exécutés directement sur le matériel physique (ex. VMware ESXi, Proxmox VE, KVM/Xen). Ils offrent des performances maximales mais requièrent un parc de serveurs dédiés non partagés.</w:t>
      </w:r>
    </w:p>
    <w:p>
      <w:pPr>
        <w:pStyle w:val="ListBullet"/>
        <w:spacing w:before="0" w:after="60" w:line="276" w:lineRule="auto"/>
      </w:pPr>
      <w:r>
        <w:rPr>
          <w:rFonts w:ascii="Calibri" w:hAnsi="Calibri"/>
          <w:b/>
          <w:color w:val="263238"/>
          <w:sz w:val="21"/>
        </w:rPr>
        <w:t xml:space="preserve">Hyperviseurs de Type 2 (Hosted) : </w:t>
      </w:r>
      <w:r>
        <w:rPr>
          <w:rFonts w:ascii="Calibri" w:hAnsi="Calibri"/>
          <w:color w:val="37474F"/>
          <w:sz w:val="21"/>
        </w:rPr>
        <w:t>Exécutés au-dessus d'un système d'exploitation hôte standard (ex. Oracle VirtualBox, VMware Workstation).</w:t>
      </w:r>
    </w:p>
    <w:p>
      <w:pPr>
        <w:spacing w:before="0" w:after="100" w:line="276" w:lineRule="auto"/>
      </w:pPr>
      <w:r>
        <w:rPr>
          <w:rFonts w:ascii="Calibri" w:hAnsi="Calibri"/>
          <w:color w:val="263238"/>
          <w:sz w:val="21"/>
        </w:rPr>
        <w:t>Dans le cadre de ce projet, Oracle VirtualBox a été sélectionné pour sa flexibilité, sa disponibilité cross-platform (Windows, Linux, macOS) et surtout la puissance exhaustive de son interface en ligne de commande : VBoxManage. VBoxManage expose la totalité des fonctionnalités du moteur de virtualisation sous forme d'API CLI scriptable, autorisant un contrôle déterministe depuis un orchestrateur backend.</w:t>
      </w:r>
    </w:p>
    <w:p>
      <w:pPr>
        <w:keepNext/>
        <w:spacing w:before="240" w:after="80"/>
      </w:pPr>
      <w:r>
        <w:rPr>
          <w:rFonts w:ascii="Calibri" w:hAnsi="Calibri"/>
          <w:b/>
          <w:color w:val="00897B"/>
          <w:sz w:val="26"/>
        </w:rPr>
        <w:t>2.2 Analyse comparative des techniques de clonage de disque</w:t>
      </w:r>
    </w:p>
    <w:p>
      <w:pPr>
        <w:spacing w:before="0" w:after="100" w:line="276" w:lineRule="auto"/>
      </w:pPr>
      <w:r>
        <w:rPr>
          <w:rFonts w:ascii="Calibri" w:hAnsi="Calibri"/>
          <w:color w:val="263238"/>
          <w:sz w:val="21"/>
        </w:rPr>
        <w:t>Le stockage et la duplication des machines virtuelles constituent le principal goulot d'étranglement lors du provisionnement à la demande. Le tableau comparatif suivant synthétise les propriétés des deux approches majeures :</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D47A1"/>
            <w:tcMar>
              <w:top w:w="140" w:type="dxa"/>
              <w:bottom w:w="140" w:type="dxa"/>
              <w:left w:w="150" w:type="dxa"/>
              <w:right w:w="150" w:type="dxa"/>
            </w:tcMar>
          </w:tcPr>
          <w:p>
            <w:r>
              <w:rPr>
                <w:b/>
                <w:color w:val="FFFFFF"/>
              </w:rPr>
              <w:t>Critère d'évaluation</w:t>
            </w:r>
          </w:p>
        </w:tc>
        <w:tc>
          <w:tcPr>
            <w:tcW w:type="dxa" w:w="3120"/>
            <w:shd w:fill="0D47A1"/>
            <w:tcMar>
              <w:top w:w="140" w:type="dxa"/>
              <w:bottom w:w="140" w:type="dxa"/>
              <w:left w:w="150" w:type="dxa"/>
              <w:right w:w="150" w:type="dxa"/>
            </w:tcMar>
          </w:tcPr>
          <w:p>
            <w:r>
              <w:rPr>
                <w:b/>
                <w:color w:val="FFFFFF"/>
              </w:rPr>
              <w:t>Full Clone (Clonage Intégral)</w:t>
            </w:r>
          </w:p>
        </w:tc>
        <w:tc>
          <w:tcPr>
            <w:tcW w:type="dxa" w:w="3120"/>
            <w:shd w:fill="0D47A1"/>
            <w:tcMar>
              <w:top w:w="140" w:type="dxa"/>
              <w:bottom w:w="140" w:type="dxa"/>
              <w:left w:w="150" w:type="dxa"/>
              <w:right w:w="150" w:type="dxa"/>
            </w:tcMar>
          </w:tcPr>
          <w:p>
            <w:r>
              <w:rPr>
                <w:b/>
                <w:color w:val="FFFFFF"/>
              </w:rPr>
              <w:t>Linked Clone (Clonage Lié - Retenu)</w:t>
            </w:r>
          </w:p>
        </w:tc>
      </w:tr>
      <w:tr>
        <w:tc>
          <w:tcPr>
            <w:tcW w:type="dxa" w:w="3120"/>
            <w:tcMar>
              <w:top w:w="100" w:type="dxa"/>
              <w:bottom w:w="100" w:type="dxa"/>
              <w:left w:w="120" w:type="dxa"/>
              <w:right w:w="120" w:type="dxa"/>
            </w:tcMar>
            <w:shd w:fill="F0F4F8"/>
          </w:tcPr>
          <w:p>
            <w:r>
              <w:rPr>
                <w:rFonts w:ascii="Calibri" w:hAnsi="Calibri"/>
                <w:sz w:val="19"/>
              </w:rPr>
              <w:t>Temps de provisionnement</w:t>
            </w:r>
          </w:p>
        </w:tc>
        <w:tc>
          <w:tcPr>
            <w:tcW w:type="dxa" w:w="3120"/>
            <w:tcMar>
              <w:top w:w="100" w:type="dxa"/>
              <w:bottom w:w="100" w:type="dxa"/>
              <w:left w:w="120" w:type="dxa"/>
              <w:right w:w="120" w:type="dxa"/>
            </w:tcMar>
            <w:shd w:fill="F0F4F8"/>
          </w:tcPr>
          <w:p>
            <w:r>
              <w:rPr>
                <w:rFonts w:ascii="Calibri" w:hAnsi="Calibri"/>
                <w:sz w:val="19"/>
              </w:rPr>
              <w:t>3 à 15 minutes selon la taille du VDI</w:t>
            </w:r>
          </w:p>
        </w:tc>
        <w:tc>
          <w:tcPr>
            <w:tcW w:type="dxa" w:w="3120"/>
            <w:tcMar>
              <w:top w:w="100" w:type="dxa"/>
              <w:bottom w:w="100" w:type="dxa"/>
              <w:left w:w="120" w:type="dxa"/>
              <w:right w:w="120" w:type="dxa"/>
            </w:tcMar>
            <w:shd w:fill="F0F4F8"/>
          </w:tcPr>
          <w:p>
            <w:r>
              <w:rPr>
                <w:rFonts w:ascii="Calibri" w:hAnsi="Calibri"/>
                <w:sz w:val="19"/>
              </w:rPr>
              <w:t>10 à 30 secondes (instantané)</w:t>
            </w:r>
          </w:p>
        </w:tc>
      </w:tr>
      <w:tr>
        <w:tc>
          <w:tcPr>
            <w:tcW w:type="dxa" w:w="3120"/>
            <w:tcMar>
              <w:top w:w="100" w:type="dxa"/>
              <w:bottom w:w="100" w:type="dxa"/>
              <w:left w:w="120" w:type="dxa"/>
              <w:right w:w="120" w:type="dxa"/>
            </w:tcMar>
            <w:shd w:fill="FFFFFF"/>
          </w:tcPr>
          <w:p>
            <w:r>
              <w:rPr>
                <w:rFonts w:ascii="Calibri" w:hAnsi="Calibri"/>
                <w:sz w:val="19"/>
              </w:rPr>
              <w:t>Consommation d'espace disque</w:t>
            </w:r>
          </w:p>
        </w:tc>
        <w:tc>
          <w:tcPr>
            <w:tcW w:type="dxa" w:w="3120"/>
            <w:tcMar>
              <w:top w:w="100" w:type="dxa"/>
              <w:bottom w:w="100" w:type="dxa"/>
              <w:left w:w="120" w:type="dxa"/>
              <w:right w:w="120" w:type="dxa"/>
            </w:tcMar>
            <w:shd w:fill="FFFFFF"/>
          </w:tcPr>
          <w:p>
            <w:r>
              <w:rPr>
                <w:rFonts w:ascii="Calibri" w:hAnsi="Calibri"/>
                <w:sz w:val="19"/>
              </w:rPr>
              <w:t>Duplication intégrale (ex: 20 Go par VM)</w:t>
            </w:r>
          </w:p>
        </w:tc>
        <w:tc>
          <w:tcPr>
            <w:tcW w:type="dxa" w:w="3120"/>
            <w:tcMar>
              <w:top w:w="100" w:type="dxa"/>
              <w:bottom w:w="100" w:type="dxa"/>
              <w:left w:w="120" w:type="dxa"/>
              <w:right w:w="120" w:type="dxa"/>
            </w:tcMar>
            <w:shd w:fill="FFFFFF"/>
          </w:tcPr>
          <w:p>
            <w:r>
              <w:rPr>
                <w:rFonts w:ascii="Calibri" w:hAnsi="Calibri"/>
                <w:sz w:val="19"/>
              </w:rPr>
              <w:t>Différentiel uniquement (~50 Mo au démarrage)</w:t>
            </w:r>
          </w:p>
        </w:tc>
      </w:tr>
      <w:tr>
        <w:tc>
          <w:tcPr>
            <w:tcW w:type="dxa" w:w="3120"/>
            <w:tcMar>
              <w:top w:w="100" w:type="dxa"/>
              <w:bottom w:w="100" w:type="dxa"/>
              <w:left w:w="120" w:type="dxa"/>
              <w:right w:w="120" w:type="dxa"/>
            </w:tcMar>
            <w:shd w:fill="F0F4F8"/>
          </w:tcPr>
          <w:p>
            <w:r>
              <w:rPr>
                <w:rFonts w:ascii="Calibri" w:hAnsi="Calibri"/>
                <w:sz w:val="19"/>
              </w:rPr>
              <w:t>Indépendance du Golden Master</w:t>
            </w:r>
          </w:p>
        </w:tc>
        <w:tc>
          <w:tcPr>
            <w:tcW w:type="dxa" w:w="3120"/>
            <w:tcMar>
              <w:top w:w="100" w:type="dxa"/>
              <w:bottom w:w="100" w:type="dxa"/>
              <w:left w:w="120" w:type="dxa"/>
              <w:right w:w="120" w:type="dxa"/>
            </w:tcMar>
            <w:shd w:fill="F0F4F8"/>
          </w:tcPr>
          <w:p>
            <w:r>
              <w:rPr>
                <w:rFonts w:ascii="Calibri" w:hAnsi="Calibri"/>
                <w:sz w:val="19"/>
              </w:rPr>
              <w:t>Totale après création</w:t>
            </w:r>
          </w:p>
        </w:tc>
        <w:tc>
          <w:tcPr>
            <w:tcW w:type="dxa" w:w="3120"/>
            <w:tcMar>
              <w:top w:w="100" w:type="dxa"/>
              <w:bottom w:w="100" w:type="dxa"/>
              <w:left w:w="120" w:type="dxa"/>
              <w:right w:w="120" w:type="dxa"/>
            </w:tcMar>
            <w:shd w:fill="F0F4F8"/>
          </w:tcPr>
          <w:p>
            <w:r>
              <w:rPr>
                <w:rFonts w:ascii="Calibri" w:hAnsi="Calibri"/>
                <w:sz w:val="19"/>
              </w:rPr>
              <w:t>Lié au snapshot de base (lecture seule)</w:t>
            </w:r>
          </w:p>
        </w:tc>
      </w:tr>
      <w:tr>
        <w:tc>
          <w:tcPr>
            <w:tcW w:type="dxa" w:w="3120"/>
            <w:tcMar>
              <w:top w:w="100" w:type="dxa"/>
              <w:bottom w:w="100" w:type="dxa"/>
              <w:left w:w="120" w:type="dxa"/>
              <w:right w:w="120" w:type="dxa"/>
            </w:tcMar>
            <w:shd w:fill="FFFFFF"/>
          </w:tcPr>
          <w:p>
            <w:r>
              <w:rPr>
                <w:rFonts w:ascii="Calibri" w:hAnsi="Calibri"/>
                <w:sz w:val="19"/>
              </w:rPr>
              <w:t>Scalabilité sur une station hôte</w:t>
            </w:r>
          </w:p>
        </w:tc>
        <w:tc>
          <w:tcPr>
            <w:tcW w:type="dxa" w:w="3120"/>
            <w:tcMar>
              <w:top w:w="100" w:type="dxa"/>
              <w:bottom w:w="100" w:type="dxa"/>
              <w:left w:w="120" w:type="dxa"/>
              <w:right w:w="120" w:type="dxa"/>
            </w:tcMar>
            <w:shd w:fill="FFFFFF"/>
          </w:tcPr>
          <w:p>
            <w:r>
              <w:rPr>
                <w:rFonts w:ascii="Calibri" w:hAnsi="Calibri"/>
                <w:sz w:val="19"/>
              </w:rPr>
              <w:t>Faible (saturation rapide du disque dur)</w:t>
            </w:r>
          </w:p>
        </w:tc>
        <w:tc>
          <w:tcPr>
            <w:tcW w:type="dxa" w:w="3120"/>
            <w:tcMar>
              <w:top w:w="100" w:type="dxa"/>
              <w:bottom w:w="100" w:type="dxa"/>
              <w:left w:w="120" w:type="dxa"/>
              <w:right w:w="120" w:type="dxa"/>
            </w:tcMar>
            <w:shd w:fill="FFFFFF"/>
          </w:tcPr>
          <w:p>
            <w:r>
              <w:rPr>
                <w:rFonts w:ascii="Calibri" w:hAnsi="Calibri"/>
                <w:sz w:val="19"/>
              </w:rPr>
              <w:t>Excellente (des dizaines de VM simultanées)</w:t>
            </w:r>
          </w:p>
        </w:tc>
      </w:tr>
    </w:tbl>
    <w:p/>
    <w:p>
      <w:pPr>
        <w:spacing w:before="0" w:after="100" w:line="276" w:lineRule="auto"/>
      </w:pPr>
      <w:r>
        <w:rPr>
          <w:rFonts w:ascii="Calibri" w:hAnsi="Calibri"/>
          <w:color w:val="263238"/>
          <w:sz w:val="21"/>
        </w:rPr>
        <w:t>Le Linked Cloning a donc été implémenté au cœur du service VBoxVMService. Un instantané (Snapshot) de référence est capturé sur chaque Golden Master. Lors de la commande utilisateur, un disque virtuel différentiel est rattaché à la nouvelle machine virtuelle, garantissant une création quasi-immédiate.</w:t>
      </w:r>
    </w:p>
    <w:p>
      <w:pPr>
        <w:keepNext/>
        <w:spacing w:before="240" w:after="80"/>
      </w:pPr>
      <w:r>
        <w:rPr>
          <w:rFonts w:ascii="Calibri" w:hAnsi="Calibri"/>
          <w:b/>
          <w:color w:val="00897B"/>
          <w:sz w:val="26"/>
        </w:rPr>
        <w:t>2.3 Amorçage déclaratif avec Cloud-Init et la source NoCloud</w:t>
      </w:r>
    </w:p>
    <w:p>
      <w:pPr>
        <w:spacing w:before="0" w:after="100" w:line="276" w:lineRule="auto"/>
      </w:pPr>
      <w:r>
        <w:rPr>
          <w:rFonts w:ascii="Calibri" w:hAnsi="Calibri"/>
          <w:color w:val="263238"/>
          <w:sz w:val="21"/>
        </w:rPr>
        <w:t>Cloud-Init est la norme industrielle pour la personnalisation initiale des instances de systèmes d'exploitation Unix/Linux dans les infrastructures Cloud. Lors du premier cycle de démarrage du noyau, les démons cloud-init inspectent les périphériques locaux ou le réseau pour identifier une source de métadonnées.</w:t>
      </w:r>
    </w:p>
    <w:p>
      <w:pPr>
        <w:spacing w:before="0" w:after="100" w:line="276" w:lineRule="auto"/>
      </w:pPr>
      <w:r>
        <w:rPr>
          <w:rFonts w:ascii="Calibri" w:hAnsi="Calibri"/>
          <w:color w:val="263238"/>
          <w:sz w:val="21"/>
        </w:rPr>
        <w:t>Dans notre architecture on-premise sans serveur DHCP/DNS complexe, nous tirons parti du datasource NoCloud. Cette spécification stipule qu'un système de fichiers ISO 9660 nommé CIDATA contenant deux fichiers précis (user-data et meta-data) peut être monté en tant que lecteur CD-ROM virtuel IDE.</w:t>
      </w:r>
    </w:p>
    <w:p>
      <w:pPr>
        <w:spacing w:before="0" w:after="100" w:line="276" w:lineRule="auto"/>
      </w:pPr>
      <w:r>
        <w:rPr>
          <w:rFonts w:ascii="Calibri" w:hAnsi="Calibri"/>
          <w:color w:val="263238"/>
          <w:sz w:val="21"/>
        </w:rPr>
        <w:t>Afin d'éviter toute dépendance envers des outils système tiers comme genisoimage ou mkisofs (qui introduisent des ruptures de compatibilité sur les stations Windows de développement), nous avons intégré la bibliothèque pure Python pycdlib. Cette dernière compile en mémoire et écrit le fichier .iso bit-à-bit avec les conformités Rock Ridge et Joliet.</w:t>
      </w:r>
    </w:p>
    <w:p>
      <w:pPr>
        <w:keepNext/>
        <w:spacing w:before="240" w:after="80"/>
      </w:pPr>
      <w:r>
        <w:rPr>
          <w:rFonts w:ascii="Calibri" w:hAnsi="Calibri"/>
          <w:b/>
          <w:color w:val="00897B"/>
          <w:sz w:val="26"/>
        </w:rPr>
        <w:t>2.4 Accès console : Dépasser les limites de SSH et du RDP natif</w:t>
      </w:r>
    </w:p>
    <w:p>
      <w:pPr>
        <w:spacing w:before="0" w:after="100" w:line="276" w:lineRule="auto"/>
      </w:pPr>
      <w:r>
        <w:rPr>
          <w:rFonts w:ascii="Calibri" w:hAnsi="Calibri"/>
          <w:color w:val="263238"/>
          <w:sz w:val="21"/>
        </w:rPr>
        <w:t>Bien qu'un accès SSH direct soit exposé via une redirection de port NAT dynamique (Forwarding de port sur l'hôte), l'expérience utilisateur moderne exige un accès à l'environnement de bureau graphique (GUI) sans exiger l'installation préalable d'un client RDP lourd (comme mstsc ou Remmina) ni la configuration complexe de tunnels VPN.</w:t>
      </w:r>
    </w:p>
    <w:p>
      <w:pPr>
        <w:spacing w:before="0" w:after="100" w:line="276" w:lineRule="auto"/>
      </w:pPr>
      <w:r>
        <w:rPr>
          <w:rFonts w:ascii="Calibri" w:hAnsi="Calibri"/>
          <w:color w:val="263238"/>
          <w:sz w:val="21"/>
        </w:rPr>
        <w:t>Apache Guacamole offre la réponse architecturale optimale : agissant en tant que passerelle mandataire (Proxy Gateway), son démon guacd convertit le protocole de bureau distant (RDP/VNC) en instructions de rendu vectoriel HTML5 Canvas transmises par WebSocket ou HTTP streaming. L'utilisateur bénéficie d'une réactivité fluide à 60 images par seconde directement dans son navigateur web.</w:t>
      </w:r>
    </w:p>
    <w:p>
      <w:r>
        <w:br w:type="page"/>
      </w:r>
    </w:p>
    <w:p>
      <w:pPr>
        <w:keepNext/>
        <w:spacing w:before="320" w:after="120"/>
      </w:pPr>
      <w:r>
        <w:rPr>
          <w:rFonts w:ascii="Calibri" w:hAnsi="Calibri"/>
          <w:b/>
          <w:color w:val="0D47A1"/>
          <w:sz w:val="32"/>
        </w:rPr>
        <w:t>CHAPITRE 3 : ARCHITECTURE LOGICIELLE ET CONCEPTION DU SYSTÈME</w:t>
      </w:r>
    </w:p>
    <w:p>
      <w:pPr>
        <w:keepNext/>
        <w:spacing w:before="240" w:after="80"/>
      </w:pPr>
      <w:r>
        <w:rPr>
          <w:rFonts w:ascii="Calibri" w:hAnsi="Calibri"/>
          <w:b/>
          <w:color w:val="00897B"/>
          <w:sz w:val="26"/>
        </w:rPr>
        <w:t>3.1 Vision architecturale multi-tiers</w:t>
      </w:r>
    </w:p>
    <w:p>
      <w:pPr>
        <w:spacing w:before="0" w:after="100" w:line="276" w:lineRule="auto"/>
      </w:pPr>
      <w:r>
        <w:rPr>
          <w:rFonts w:ascii="Calibri" w:hAnsi="Calibri"/>
          <w:color w:val="263238"/>
          <w:sz w:val="21"/>
        </w:rPr>
        <w:t>Le système adopte une architecture micro-services modulaire, découplée et hautement disponible, articulée autour de 4 couches fondamentales :</w:t>
      </w:r>
    </w:p>
    <w:p>
      <w:pPr>
        <w:pStyle w:val="ListBullet"/>
        <w:spacing w:before="0" w:after="60" w:line="276" w:lineRule="auto"/>
      </w:pPr>
      <w:r>
        <w:rPr>
          <w:rFonts w:ascii="Calibri" w:hAnsi="Calibri"/>
          <w:b/>
          <w:color w:val="263238"/>
          <w:sz w:val="21"/>
        </w:rPr>
        <w:t xml:space="preserve">Couche Présentation (Frontend SPA) : </w:t>
      </w:r>
      <w:r>
        <w:rPr>
          <w:rFonts w:ascii="Calibri" w:hAnsi="Calibri"/>
          <w:color w:val="37474F"/>
          <w:sz w:val="21"/>
        </w:rPr>
        <w:t>Développée avec React 18, Vite et TailwindCSS. Elle assure une interface réactive intégrant le support multilingue (i18n), un thème sombre sophistiqué, une gestion d'état centralisée et la notification par Toasts temps réel.</w:t>
      </w:r>
    </w:p>
    <w:p>
      <w:pPr>
        <w:pStyle w:val="ListBullet"/>
        <w:spacing w:before="0" w:after="60" w:line="276" w:lineRule="auto"/>
      </w:pPr>
      <w:r>
        <w:rPr>
          <w:rFonts w:ascii="Calibri" w:hAnsi="Calibri"/>
          <w:b/>
          <w:color w:val="263238"/>
          <w:sz w:val="21"/>
        </w:rPr>
        <w:t xml:space="preserve">Couche Contrôle &amp; API (Backend FastAPI) : </w:t>
      </w:r>
      <w:r>
        <w:rPr>
          <w:rFonts w:ascii="Calibri" w:hAnsi="Calibri"/>
          <w:color w:val="37474F"/>
          <w:sz w:val="21"/>
        </w:rPr>
        <w:t>Serveur asynchrone Python ASGI propulsé par Uvicorn. Il expose l'API RESTful OpenAPI v3, gère l'injection des dépendances de base de données, la sécurité applicative (Rate Limiting, JWT) et le routage des événements.</w:t>
      </w:r>
    </w:p>
    <w:p>
      <w:pPr>
        <w:pStyle w:val="ListBullet"/>
        <w:spacing w:before="0" w:after="60" w:line="276" w:lineRule="auto"/>
      </w:pPr>
      <w:r>
        <w:rPr>
          <w:rFonts w:ascii="Calibri" w:hAnsi="Calibri"/>
          <w:b/>
          <w:color w:val="263238"/>
          <w:sz w:val="21"/>
        </w:rPr>
        <w:t xml:space="preserve">Couche Services Métier &amp; Orchestration : </w:t>
      </w:r>
      <w:r>
        <w:rPr>
          <w:rFonts w:ascii="Calibri" w:hAnsi="Calibri"/>
          <w:color w:val="37474F"/>
          <w:sz w:val="21"/>
        </w:rPr>
        <w:t>Regroupe les modules spécialisés VBoxVMService (pilotage VBoxManage), CloudInitService (génération ISO pycdlib), ConsoleService (chiffrement de tickets Guacamole), MetricsService (télémétrie) et NotificationService.</w:t>
      </w:r>
    </w:p>
    <w:p>
      <w:pPr>
        <w:pStyle w:val="ListBullet"/>
        <w:spacing w:before="0" w:after="60" w:line="276" w:lineRule="auto"/>
      </w:pPr>
      <w:r>
        <w:rPr>
          <w:rFonts w:ascii="Calibri" w:hAnsi="Calibri"/>
          <w:b/>
          <w:color w:val="263238"/>
          <w:sz w:val="21"/>
        </w:rPr>
        <w:t xml:space="preserve">Couche Persistance &amp; Hyperviseur : </w:t>
      </w:r>
      <w:r>
        <w:rPr>
          <w:rFonts w:ascii="Calibri" w:hAnsi="Calibri"/>
          <w:color w:val="37474F"/>
          <w:sz w:val="21"/>
        </w:rPr>
        <w:t>Base de données relationnelle SQLite/PostgreSQL orchestrée par SQLAlchemy ORM, couplée au moteur de virtualisation physique VirtualBox et aux conteneurs Docker Guacamole.</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1 ]</w:t>
              <w:br/>
            </w:r>
            <w:r>
              <w:rPr>
                <w:rFonts w:ascii="Calibri" w:hAnsi="Calibri"/>
                <w:b/>
                <w:color w:val="263238"/>
                <w:sz w:val="20"/>
              </w:rPr>
              <w:t>Titre : Schéma Synoptique de l'Architecture Globale du Système</w:t>
              <w:br/>
            </w:r>
            <w:r>
              <w:rPr>
                <w:rFonts w:ascii="Calibri" w:hAnsi="Calibri"/>
                <w:i/>
                <w:color w:val="37474F"/>
                <w:sz w:val="19"/>
              </w:rPr>
              <w:t>🎯 Action à capturer : Insérez ici le schéma d'architecture logicielle illustrant l'interaction entre le navigateur client (React), l'API Gateway FastAPI, la passerelle Apache Guacamole, le service VBoxManage et l'hyperviseur physique.</w:t>
              <w:br/>
            </w:r>
            <w:r>
              <w:rPr>
                <w:rFonts w:ascii="Calibri" w:hAnsi="Calibri"/>
                <w:color w:val="455A64"/>
                <w:sz w:val="18"/>
              </w:rPr>
              <w:t>🔍 Éléments clés devant figurer sur l'image : Composants Frontend, Backend FastAPI, SQLite, VirtualBox Host, Conteneur Guacamole guacd, et les flux de communication (HTTP REST, WebSocket, RDP/VRDE).</w:t>
              <w:br/>
            </w:r>
            <w:r>
              <w:rPr>
                <w:rFonts w:ascii="Calibri" w:hAnsi="Calibri"/>
                <w:b/>
                <w:color w:val="00897B"/>
                <w:sz w:val="19"/>
              </w:rPr>
              <w:t>👉 [ Collez votre capture d'écran ici en pleine largeur ]</w:t>
            </w:r>
          </w:p>
        </w:tc>
      </w:tr>
    </w:tbl>
    <w:p>
      <w:pPr>
        <w:spacing w:before="80" w:after="120"/>
      </w:pPr>
    </w:p>
    <w:p>
      <w:pPr>
        <w:keepNext/>
        <w:spacing w:before="240" w:after="80"/>
      </w:pPr>
      <w:r>
        <w:rPr>
          <w:rFonts w:ascii="Calibri" w:hAnsi="Calibri"/>
          <w:b/>
          <w:color w:val="00897B"/>
          <w:sz w:val="26"/>
        </w:rPr>
        <w:t>3.2 Modélisation conceptuelle des données</w:t>
      </w:r>
    </w:p>
    <w:p>
      <w:pPr>
        <w:spacing w:before="0" w:after="100" w:line="276" w:lineRule="auto"/>
      </w:pPr>
      <w:r>
        <w:rPr>
          <w:rFonts w:ascii="Calibri" w:hAnsi="Calibri"/>
          <w:color w:val="263238"/>
          <w:sz w:val="21"/>
        </w:rPr>
        <w:t>Le modèle relationnel de données repose sur 4 entités maîtresses interconnectées :</w:t>
      </w:r>
    </w:p>
    <w:p>
      <w:pPr>
        <w:pStyle w:val="ListBullet"/>
        <w:spacing w:before="0" w:after="60" w:line="276" w:lineRule="auto"/>
      </w:pPr>
      <w:r>
        <w:rPr>
          <w:rFonts w:ascii="Calibri" w:hAnsi="Calibri"/>
          <w:b/>
          <w:color w:val="263238"/>
          <w:sz w:val="21"/>
        </w:rPr>
        <w:t xml:space="preserve">User (users) : </w:t>
      </w:r>
      <w:r>
        <w:rPr>
          <w:rFonts w:ascii="Calibri" w:hAnsi="Calibri"/>
          <w:color w:val="37474F"/>
          <w:sz w:val="21"/>
        </w:rPr>
        <w:t>Stocke l'identité des utilisateurs, identifiant unique, nom d'utilisateur, courriel, mot de passe haché par algorithme bcrypt, rôle administratif (is_admin) et état d'activation (is_verified).</w:t>
      </w:r>
    </w:p>
    <w:p>
      <w:pPr>
        <w:pStyle w:val="ListBullet"/>
        <w:spacing w:before="0" w:after="60" w:line="276" w:lineRule="auto"/>
      </w:pPr>
      <w:r>
        <w:rPr>
          <w:rFonts w:ascii="Calibri" w:hAnsi="Calibri"/>
          <w:b/>
          <w:color w:val="263238"/>
          <w:sz w:val="21"/>
        </w:rPr>
        <w:t xml:space="preserve">VM (vms) : </w:t>
      </w:r>
      <w:r>
        <w:rPr>
          <w:rFonts w:ascii="Calibri" w:hAnsi="Calibri"/>
          <w:color w:val="37474F"/>
          <w:sz w:val="21"/>
        </w:rPr>
        <w:t>Représente l'instance de machine virtuelle. Clé primaire id, nom machine, clé étrangère owner_id, système d'exploitation os_type (zorin, ubuntu, windows11), caractéristiques matérielles (vcpu, ram_mb, disk_gb), statut d'état (PENDING, CREATING, RUNNING, STOPPED, ERROR, DELETED), ports réseau alloués (ssh_port, vrde_port) et horodatage.</w:t>
      </w:r>
    </w:p>
    <w:p>
      <w:pPr>
        <w:pStyle w:val="ListBullet"/>
        <w:spacing w:before="0" w:after="60" w:line="276" w:lineRule="auto"/>
      </w:pPr>
      <w:r>
        <w:rPr>
          <w:rFonts w:ascii="Calibri" w:hAnsi="Calibri"/>
          <w:b/>
          <w:color w:val="263238"/>
          <w:sz w:val="21"/>
        </w:rPr>
        <w:t xml:space="preserve">Notification (notifications) : </w:t>
      </w:r>
      <w:r>
        <w:rPr>
          <w:rFonts w:ascii="Calibri" w:hAnsi="Calibri"/>
          <w:color w:val="37474F"/>
          <w:sz w:val="21"/>
        </w:rPr>
        <w:t>Messages d'alerte et événements asynchrones rattachés à un utilisateur (succès de provisioning, alertes de ressources, alertes de sécurité).</w:t>
      </w:r>
    </w:p>
    <w:p>
      <w:pPr>
        <w:pStyle w:val="ListBullet"/>
        <w:spacing w:before="0" w:after="60" w:line="276" w:lineRule="auto"/>
      </w:pPr>
      <w:r>
        <w:rPr>
          <w:rFonts w:ascii="Calibri" w:hAnsi="Calibri"/>
          <w:b/>
          <w:color w:val="263238"/>
          <w:sz w:val="21"/>
        </w:rPr>
        <w:t xml:space="preserve">AuditLog (audit_logs) : </w:t>
      </w:r>
      <w:r>
        <w:rPr>
          <w:rFonts w:ascii="Calibri" w:hAnsi="Calibri"/>
          <w:color w:val="37474F"/>
          <w:sz w:val="21"/>
        </w:rPr>
        <w:t>Journal immuable enregistrant chaque transaction administrative et utilisateur : horodatage UTC, ID utilisateur, type d'action (CREATE_VM, START_VM, LOGIN, DELETE_VM), adresse IP source, statut et détails contextuels en JSON.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D47A1"/>
            <w:tcMar>
              <w:top w:w="120" w:type="dxa"/>
              <w:bottom w:w="120" w:type="dxa"/>
              <w:left w:w="120" w:type="dxa"/>
              <w:right w:w="120" w:type="dxa"/>
            </w:tcMar>
          </w:tcPr>
          <w:p>
            <w:r>
              <w:rPr>
                <w:b/>
                <w:color w:val="FFFFFF"/>
              </w:rPr>
              <w:t>Table</w:t>
            </w:r>
          </w:p>
        </w:tc>
        <w:tc>
          <w:tcPr>
            <w:tcW w:type="dxa" w:w="2340"/>
            <w:shd w:fill="0D47A1"/>
            <w:tcMar>
              <w:top w:w="120" w:type="dxa"/>
              <w:bottom w:w="120" w:type="dxa"/>
              <w:left w:w="120" w:type="dxa"/>
              <w:right w:w="120" w:type="dxa"/>
            </w:tcMar>
          </w:tcPr>
          <w:p>
            <w:r>
              <w:rPr>
                <w:b/>
                <w:color w:val="FFFFFF"/>
              </w:rPr>
              <w:t>Champ Clé</w:t>
            </w:r>
          </w:p>
        </w:tc>
        <w:tc>
          <w:tcPr>
            <w:tcW w:type="dxa" w:w="2340"/>
            <w:shd w:fill="0D47A1"/>
            <w:tcMar>
              <w:top w:w="120" w:type="dxa"/>
              <w:bottom w:w="120" w:type="dxa"/>
              <w:left w:w="120" w:type="dxa"/>
              <w:right w:w="120" w:type="dxa"/>
            </w:tcMar>
          </w:tcPr>
          <w:p>
            <w:r>
              <w:rPr>
                <w:b/>
                <w:color w:val="FFFFFF"/>
              </w:rPr>
              <w:t>Type / Contrainte</w:t>
            </w:r>
          </w:p>
        </w:tc>
        <w:tc>
          <w:tcPr>
            <w:tcW w:type="dxa" w:w="2340"/>
            <w:shd w:fill="0D47A1"/>
            <w:tcMar>
              <w:top w:w="120" w:type="dxa"/>
              <w:bottom w:w="120" w:type="dxa"/>
              <w:left w:w="120" w:type="dxa"/>
              <w:right w:w="120" w:type="dxa"/>
            </w:tcMar>
          </w:tcPr>
          <w:p>
            <w:r>
              <w:rPr>
                <w:b/>
                <w:color w:val="FFFFFF"/>
              </w:rPr>
              <w:t>Rôle Métier</w:t>
            </w:r>
          </w:p>
        </w:tc>
      </w:tr>
      <w:tr>
        <w:tc>
          <w:tcPr>
            <w:tcW w:type="dxa" w:w="2340"/>
            <w:tcMar>
              <w:top w:w="80" w:type="dxa"/>
              <w:bottom w:w="80" w:type="dxa"/>
              <w:left w:w="100" w:type="dxa"/>
              <w:right w:w="100" w:type="dxa"/>
            </w:tcMar>
            <w:shd w:fill="F0F4F8"/>
          </w:tcPr>
          <w:p>
            <w:r>
              <w:rPr>
                <w:rFonts w:ascii="Calibri" w:hAnsi="Calibri"/>
                <w:sz w:val="18"/>
              </w:rPr>
              <w:t>users</w:t>
            </w:r>
          </w:p>
        </w:tc>
        <w:tc>
          <w:tcPr>
            <w:tcW w:type="dxa" w:w="2340"/>
            <w:tcMar>
              <w:top w:w="80" w:type="dxa"/>
              <w:bottom w:w="80" w:type="dxa"/>
              <w:left w:w="100" w:type="dxa"/>
              <w:right w:w="100" w:type="dxa"/>
            </w:tcMar>
            <w:shd w:fill="F0F4F8"/>
          </w:tcPr>
          <w:p>
            <w:r>
              <w:rPr>
                <w:rFonts w:ascii="Calibri" w:hAnsi="Calibri"/>
                <w:sz w:val="18"/>
              </w:rPr>
              <w:t>id, username, email</w:t>
            </w:r>
          </w:p>
        </w:tc>
        <w:tc>
          <w:tcPr>
            <w:tcW w:type="dxa" w:w="2340"/>
            <w:tcMar>
              <w:top w:w="80" w:type="dxa"/>
              <w:bottom w:w="80" w:type="dxa"/>
              <w:left w:w="100" w:type="dxa"/>
              <w:right w:w="100" w:type="dxa"/>
            </w:tcMar>
            <w:shd w:fill="F0F4F8"/>
          </w:tcPr>
          <w:p>
            <w:r>
              <w:rPr>
                <w:rFonts w:ascii="Calibri" w:hAnsi="Calibri"/>
                <w:sz w:val="18"/>
              </w:rPr>
              <w:t>Integer (PK), String(50), String(255)</w:t>
            </w:r>
          </w:p>
        </w:tc>
        <w:tc>
          <w:tcPr>
            <w:tcW w:type="dxa" w:w="2340"/>
            <w:tcMar>
              <w:top w:w="80" w:type="dxa"/>
              <w:bottom w:w="80" w:type="dxa"/>
              <w:left w:w="100" w:type="dxa"/>
              <w:right w:w="100" w:type="dxa"/>
            </w:tcMar>
            <w:shd w:fill="F0F4F8"/>
          </w:tcPr>
          <w:p>
            <w:r>
              <w:rPr>
                <w:rFonts w:ascii="Calibri" w:hAnsi="Calibri"/>
                <w:sz w:val="18"/>
              </w:rPr>
              <w:t>Compte utilisateur et droits RBAC</w:t>
            </w:r>
          </w:p>
        </w:tc>
      </w:tr>
      <w:tr>
        <w:tc>
          <w:tcPr>
            <w:tcW w:type="dxa" w:w="2340"/>
            <w:tcMar>
              <w:top w:w="80" w:type="dxa"/>
              <w:bottom w:w="80" w:type="dxa"/>
              <w:left w:w="100" w:type="dxa"/>
              <w:right w:w="100" w:type="dxa"/>
            </w:tcMar>
            <w:shd w:fill="FFFFFF"/>
          </w:tcPr>
          <w:p>
            <w:r>
              <w:rPr>
                <w:rFonts w:ascii="Calibri" w:hAnsi="Calibri"/>
                <w:sz w:val="18"/>
              </w:rPr>
              <w:t>vms</w:t>
            </w:r>
          </w:p>
        </w:tc>
        <w:tc>
          <w:tcPr>
            <w:tcW w:type="dxa" w:w="2340"/>
            <w:tcMar>
              <w:top w:w="80" w:type="dxa"/>
              <w:bottom w:w="80" w:type="dxa"/>
              <w:left w:w="100" w:type="dxa"/>
              <w:right w:w="100" w:type="dxa"/>
            </w:tcMar>
            <w:shd w:fill="FFFFFF"/>
          </w:tcPr>
          <w:p>
            <w:r>
              <w:rPr>
                <w:rFonts w:ascii="Calibri" w:hAnsi="Calibri"/>
                <w:sz w:val="18"/>
              </w:rPr>
              <w:t>id, name, owner_id</w:t>
            </w:r>
          </w:p>
        </w:tc>
        <w:tc>
          <w:tcPr>
            <w:tcW w:type="dxa" w:w="2340"/>
            <w:tcMar>
              <w:top w:w="80" w:type="dxa"/>
              <w:bottom w:w="80" w:type="dxa"/>
              <w:left w:w="100" w:type="dxa"/>
              <w:right w:w="100" w:type="dxa"/>
            </w:tcMar>
            <w:shd w:fill="FFFFFF"/>
          </w:tcPr>
          <w:p>
            <w:r>
              <w:rPr>
                <w:rFonts w:ascii="Calibri" w:hAnsi="Calibri"/>
                <w:sz w:val="18"/>
              </w:rPr>
              <w:t>Integer (PK), String(100), FK(users.id)</w:t>
            </w:r>
          </w:p>
        </w:tc>
        <w:tc>
          <w:tcPr>
            <w:tcW w:type="dxa" w:w="2340"/>
            <w:tcMar>
              <w:top w:w="80" w:type="dxa"/>
              <w:bottom w:w="80" w:type="dxa"/>
              <w:left w:w="100" w:type="dxa"/>
              <w:right w:w="100" w:type="dxa"/>
            </w:tcMar>
            <w:shd w:fill="FFFFFF"/>
          </w:tcPr>
          <w:p>
            <w:r>
              <w:rPr>
                <w:rFonts w:ascii="Calibri" w:hAnsi="Calibri"/>
                <w:sz w:val="18"/>
              </w:rPr>
              <w:t>Propriétés et état de la VM</w:t>
            </w:r>
          </w:p>
        </w:tc>
      </w:tr>
      <w:tr>
        <w:tc>
          <w:tcPr>
            <w:tcW w:type="dxa" w:w="2340"/>
            <w:tcMar>
              <w:top w:w="80" w:type="dxa"/>
              <w:bottom w:w="80" w:type="dxa"/>
              <w:left w:w="100" w:type="dxa"/>
              <w:right w:w="100" w:type="dxa"/>
            </w:tcMar>
            <w:shd w:fill="F0F4F8"/>
          </w:tcPr>
          <w:p>
            <w:r>
              <w:rPr>
                <w:rFonts w:ascii="Calibri" w:hAnsi="Calibri"/>
                <w:sz w:val="18"/>
              </w:rPr>
              <w:t>vms</w:t>
            </w:r>
          </w:p>
        </w:tc>
        <w:tc>
          <w:tcPr>
            <w:tcW w:type="dxa" w:w="2340"/>
            <w:tcMar>
              <w:top w:w="80" w:type="dxa"/>
              <w:bottom w:w="80" w:type="dxa"/>
              <w:left w:w="100" w:type="dxa"/>
              <w:right w:w="100" w:type="dxa"/>
            </w:tcMar>
            <w:shd w:fill="F0F4F8"/>
          </w:tcPr>
          <w:p>
            <w:r>
              <w:rPr>
                <w:rFonts w:ascii="Calibri" w:hAnsi="Calibri"/>
                <w:sz w:val="18"/>
              </w:rPr>
              <w:t>ssh_port, vrde_port</w:t>
            </w:r>
          </w:p>
        </w:tc>
        <w:tc>
          <w:tcPr>
            <w:tcW w:type="dxa" w:w="2340"/>
            <w:tcMar>
              <w:top w:w="80" w:type="dxa"/>
              <w:bottom w:w="80" w:type="dxa"/>
              <w:left w:w="100" w:type="dxa"/>
              <w:right w:w="100" w:type="dxa"/>
            </w:tcMar>
            <w:shd w:fill="F0F4F8"/>
          </w:tcPr>
          <w:p>
            <w:r>
              <w:rPr>
                <w:rFonts w:ascii="Calibri" w:hAnsi="Calibri"/>
                <w:sz w:val="18"/>
              </w:rPr>
              <w:t>Integer, Nullable</w:t>
            </w:r>
          </w:p>
        </w:tc>
        <w:tc>
          <w:tcPr>
            <w:tcW w:type="dxa" w:w="2340"/>
            <w:tcMar>
              <w:top w:w="80" w:type="dxa"/>
              <w:bottom w:w="80" w:type="dxa"/>
              <w:left w:w="100" w:type="dxa"/>
              <w:right w:w="100" w:type="dxa"/>
            </w:tcMar>
            <w:shd w:fill="F0F4F8"/>
          </w:tcPr>
          <w:p>
            <w:r>
              <w:rPr>
                <w:rFonts w:ascii="Calibri" w:hAnsi="Calibri"/>
                <w:sz w:val="18"/>
              </w:rPr>
              <w:t>Ports dynamiques d'écoute réseau</w:t>
            </w:r>
          </w:p>
        </w:tc>
      </w:tr>
      <w:tr>
        <w:tc>
          <w:tcPr>
            <w:tcW w:type="dxa" w:w="2340"/>
            <w:tcMar>
              <w:top w:w="80" w:type="dxa"/>
              <w:bottom w:w="80" w:type="dxa"/>
              <w:left w:w="100" w:type="dxa"/>
              <w:right w:w="100" w:type="dxa"/>
            </w:tcMar>
            <w:shd w:fill="FFFFFF"/>
          </w:tcPr>
          <w:p>
            <w:r>
              <w:rPr>
                <w:rFonts w:ascii="Calibri" w:hAnsi="Calibri"/>
                <w:sz w:val="18"/>
              </w:rPr>
              <w:t>notifications</w:t>
            </w:r>
          </w:p>
        </w:tc>
        <w:tc>
          <w:tcPr>
            <w:tcW w:type="dxa" w:w="2340"/>
            <w:tcMar>
              <w:top w:w="80" w:type="dxa"/>
              <w:bottom w:w="80" w:type="dxa"/>
              <w:left w:w="100" w:type="dxa"/>
              <w:right w:w="100" w:type="dxa"/>
            </w:tcMar>
            <w:shd w:fill="FFFFFF"/>
          </w:tcPr>
          <w:p>
            <w:r>
              <w:rPr>
                <w:rFonts w:ascii="Calibri" w:hAnsi="Calibri"/>
                <w:sz w:val="18"/>
              </w:rPr>
              <w:t>id, user_id, is_read</w:t>
            </w:r>
          </w:p>
        </w:tc>
        <w:tc>
          <w:tcPr>
            <w:tcW w:type="dxa" w:w="2340"/>
            <w:tcMar>
              <w:top w:w="80" w:type="dxa"/>
              <w:bottom w:w="80" w:type="dxa"/>
              <w:left w:w="100" w:type="dxa"/>
              <w:right w:w="100" w:type="dxa"/>
            </w:tcMar>
            <w:shd w:fill="FFFFFF"/>
          </w:tcPr>
          <w:p>
            <w:r>
              <w:rPr>
                <w:rFonts w:ascii="Calibri" w:hAnsi="Calibri"/>
                <w:sz w:val="18"/>
              </w:rPr>
              <w:t>Integer (PK), FK(users.id), Boolean</w:t>
            </w:r>
          </w:p>
        </w:tc>
        <w:tc>
          <w:tcPr>
            <w:tcW w:type="dxa" w:w="2340"/>
            <w:tcMar>
              <w:top w:w="80" w:type="dxa"/>
              <w:bottom w:w="80" w:type="dxa"/>
              <w:left w:w="100" w:type="dxa"/>
              <w:right w:w="100" w:type="dxa"/>
            </w:tcMar>
            <w:shd w:fill="FFFFFF"/>
          </w:tcPr>
          <w:p>
            <w:r>
              <w:rPr>
                <w:rFonts w:ascii="Calibri" w:hAnsi="Calibri"/>
                <w:sz w:val="18"/>
              </w:rPr>
              <w:t>Centre de notifications en direct</w:t>
            </w:r>
          </w:p>
        </w:tc>
      </w:tr>
      <w:tr>
        <w:tc>
          <w:tcPr>
            <w:tcW w:type="dxa" w:w="2340"/>
            <w:tcMar>
              <w:top w:w="80" w:type="dxa"/>
              <w:bottom w:w="80" w:type="dxa"/>
              <w:left w:w="100" w:type="dxa"/>
              <w:right w:w="100" w:type="dxa"/>
            </w:tcMar>
            <w:shd w:fill="F0F4F8"/>
          </w:tcPr>
          <w:p>
            <w:r>
              <w:rPr>
                <w:rFonts w:ascii="Calibri" w:hAnsi="Calibri"/>
                <w:sz w:val="18"/>
              </w:rPr>
              <w:t>audit_logs</w:t>
            </w:r>
          </w:p>
        </w:tc>
        <w:tc>
          <w:tcPr>
            <w:tcW w:type="dxa" w:w="2340"/>
            <w:tcMar>
              <w:top w:w="80" w:type="dxa"/>
              <w:bottom w:w="80" w:type="dxa"/>
              <w:left w:w="100" w:type="dxa"/>
              <w:right w:w="100" w:type="dxa"/>
            </w:tcMar>
            <w:shd w:fill="F0F4F8"/>
          </w:tcPr>
          <w:p>
            <w:r>
              <w:rPr>
                <w:rFonts w:ascii="Calibri" w:hAnsi="Calibri"/>
                <w:sz w:val="18"/>
              </w:rPr>
              <w:t>id, action, status, ip</w:t>
            </w:r>
          </w:p>
        </w:tc>
        <w:tc>
          <w:tcPr>
            <w:tcW w:type="dxa" w:w="2340"/>
            <w:tcMar>
              <w:top w:w="80" w:type="dxa"/>
              <w:bottom w:w="80" w:type="dxa"/>
              <w:left w:w="100" w:type="dxa"/>
              <w:right w:w="100" w:type="dxa"/>
            </w:tcMar>
            <w:shd w:fill="F0F4F8"/>
          </w:tcPr>
          <w:p>
            <w:r>
              <w:rPr>
                <w:rFonts w:ascii="Calibri" w:hAnsi="Calibri"/>
                <w:sz w:val="18"/>
              </w:rPr>
              <w:t>Integer (PK), String, String, String</w:t>
            </w:r>
          </w:p>
        </w:tc>
        <w:tc>
          <w:tcPr>
            <w:tcW w:type="dxa" w:w="2340"/>
            <w:tcMar>
              <w:top w:w="80" w:type="dxa"/>
              <w:bottom w:w="80" w:type="dxa"/>
              <w:left w:w="100" w:type="dxa"/>
              <w:right w:w="100" w:type="dxa"/>
            </w:tcMar>
            <w:shd w:fill="F0F4F8"/>
          </w:tcPr>
          <w:p>
            <w:r>
              <w:rPr>
                <w:rFonts w:ascii="Calibri" w:hAnsi="Calibri"/>
                <w:sz w:val="18"/>
              </w:rPr>
              <w:t>Traçabilité et sécurité médico-légale</w:t>
            </w:r>
          </w:p>
        </w:tc>
      </w:tr>
    </w:tbl>
    <w:p>
      <w:pPr>
        <w:keepNext/>
        <w:spacing w:before="240" w:after="80"/>
      </w:pPr>
      <w:r>
        <w:rPr>
          <w:rFonts w:ascii="Calibri" w:hAnsi="Calibri"/>
          <w:b/>
          <w:color w:val="00897B"/>
          <w:sz w:val="26"/>
        </w:rPr>
        <w:t>3.3 Architecture de sécurité et protocole de console Guacamole</w:t>
      </w:r>
    </w:p>
    <w:p>
      <w:pPr>
        <w:spacing w:before="0" w:after="100" w:line="276" w:lineRule="auto"/>
      </w:pPr>
      <w:r>
        <w:rPr>
          <w:rFonts w:ascii="Calibri" w:hAnsi="Calibri"/>
          <w:color w:val="263238"/>
          <w:sz w:val="21"/>
        </w:rPr>
        <w:t>L'ouverture d'une session de contrôle console graphique s'effectue sans exposer directement le mot de passe de la machine virtuelle sur le réseau, grâce à l'extension d'authentification chiffrée guacamole-auth-json. Le déroulement cryptographique s'articule comme suit :</w:t>
      </w:r>
    </w:p>
    <w:p>
      <w:pPr>
        <w:spacing w:before="0" w:after="100" w:line="276" w:lineRule="auto"/>
      </w:pPr>
      <w:r>
        <w:rPr>
          <w:rFonts w:ascii="Calibri" w:hAnsi="Calibri"/>
          <w:color w:val="263238"/>
          <w:sz w:val="21"/>
        </w:rPr>
        <w:t>1. L'utilisateur authentifié sollicite l'endpoint POST /console/session/{vm_id}.</w:t>
      </w:r>
    </w:p>
    <w:p>
      <w:pPr>
        <w:spacing w:before="0" w:after="100" w:line="276" w:lineRule="auto"/>
      </w:pPr>
      <w:r>
        <w:rPr>
          <w:rFonts w:ascii="Calibri" w:hAnsi="Calibri"/>
          <w:color w:val="263238"/>
          <w:sz w:val="21"/>
        </w:rPr>
        <w:t>2. Le service ConsoleService génère un payload JSON éphémère contenant les paramètres de connexion RDP vers l'hôte (port vrde_port de la VM cible, profondeur de couleur 24 bits, lissage de polices).</w:t>
      </w:r>
    </w:p>
    <w:p>
      <w:pPr>
        <w:spacing w:before="0" w:after="100" w:line="276" w:lineRule="auto"/>
      </w:pPr>
      <w:r>
        <w:rPr>
          <w:rFonts w:ascii="Calibri" w:hAnsi="Calibri"/>
          <w:color w:val="263238"/>
          <w:sz w:val="21"/>
        </w:rPr>
        <w:t>3. Ce payload est signé avec HMAC-SHA256, rembourré en PKCS7, puis chiffré en AES-128-CBC avec la clé secrète partagée.</w:t>
      </w:r>
    </w:p>
    <w:p>
      <w:pPr>
        <w:spacing w:before="0" w:after="100" w:line="276" w:lineRule="auto"/>
      </w:pPr>
      <w:r>
        <w:rPr>
          <w:rFonts w:ascii="Calibri" w:hAnsi="Calibri"/>
          <w:color w:val="263238"/>
          <w:sz w:val="21"/>
        </w:rPr>
        <w:t>4. Un token d'authentification temporaire authToken est obtenu auprès du serveur Apache Guacamole.</w:t>
      </w:r>
    </w:p>
    <w:p>
      <w:pPr>
        <w:spacing w:before="0" w:after="100" w:line="276" w:lineRule="auto"/>
      </w:pPr>
      <w:r>
        <w:rPr>
          <w:rFonts w:ascii="Calibri" w:hAnsi="Calibri"/>
          <w:color w:val="263238"/>
          <w:sz w:val="21"/>
        </w:rPr>
        <w:t>5. Une URL signée est renvoyée au frontend React qui intègre un composant iframe isolé ou un conteneur d'affichage direct avec commandes plein écran.</w:t>
      </w:r>
    </w:p>
    <w:p>
      <w:r>
        <w:br w:type="page"/>
      </w:r>
    </w:p>
    <w:p>
      <w:pPr>
        <w:keepNext/>
        <w:spacing w:before="320" w:after="120"/>
      </w:pPr>
      <w:r>
        <w:rPr>
          <w:rFonts w:ascii="Calibri" w:hAnsi="Calibri"/>
          <w:b/>
          <w:color w:val="0D47A1"/>
          <w:sz w:val="32"/>
        </w:rPr>
        <w:t>CHAPITRE 4 : IMPLÉMENTATION TECHNIQUE ET DÉVELOPPEMENT DÉTAILLÉ</w:t>
      </w:r>
    </w:p>
    <w:p>
      <w:pPr>
        <w:keepNext/>
        <w:spacing w:before="240" w:after="80"/>
      </w:pPr>
      <w:r>
        <w:rPr>
          <w:rFonts w:ascii="Calibri" w:hAnsi="Calibri"/>
          <w:b/>
          <w:color w:val="00897B"/>
          <w:sz w:val="26"/>
        </w:rPr>
        <w:t>4.1 Le moteur de virtualisation : VBoxVMService</w:t>
      </w:r>
    </w:p>
    <w:p>
      <w:pPr>
        <w:spacing w:before="0" w:after="100" w:line="276" w:lineRule="auto"/>
      </w:pPr>
      <w:r>
        <w:rPr>
          <w:rFonts w:ascii="Calibri" w:hAnsi="Calibri"/>
          <w:color w:val="263238"/>
          <w:sz w:val="21"/>
        </w:rPr>
        <w:t>Le fichier app/services/vm_service.py regroupe l'ensemble des interactions avec le binaire VBoxManage. Le cycle de provisionnement implémente une séquence rigoureuse d'étapes :</w:t>
      </w:r>
    </w:p>
    <w:p>
      <w:pPr>
        <w:pStyle w:val="ListBullet"/>
        <w:spacing w:before="0" w:after="60" w:line="276" w:lineRule="auto"/>
      </w:pPr>
      <w:r>
        <w:rPr>
          <w:rFonts w:ascii="Calibri" w:hAnsi="Calibri"/>
          <w:b/>
          <w:color w:val="263238"/>
          <w:sz w:val="21"/>
        </w:rPr>
        <w:t xml:space="preserve">Sélection du Golden Master : </w:t>
      </w:r>
      <w:r>
        <w:rPr>
          <w:rFonts w:ascii="Calibri" w:hAnsi="Calibri"/>
          <w:color w:val="37474F"/>
          <w:sz w:val="21"/>
        </w:rPr>
        <w:t>Résolution dynamique du modèle parent en fonction de l'OS sélectionné (zorin-24-master, ubuntu-24-master, windows11-master).</w:t>
      </w:r>
    </w:p>
    <w:p>
      <w:pPr>
        <w:pStyle w:val="ListBullet"/>
        <w:spacing w:before="0" w:after="60" w:line="276" w:lineRule="auto"/>
      </w:pPr>
      <w:r>
        <w:rPr>
          <w:rFonts w:ascii="Calibri" w:hAnsi="Calibri"/>
          <w:b/>
          <w:color w:val="263238"/>
          <w:sz w:val="21"/>
        </w:rPr>
        <w:t xml:space="preserve">Vérification des Instantanés : </w:t>
      </w:r>
      <w:r>
        <w:rPr>
          <w:rFonts w:ascii="Calibri" w:hAnsi="Calibri"/>
          <w:color w:val="37474F"/>
          <w:sz w:val="21"/>
        </w:rPr>
        <w:t>Vérification de la présence d'un snapshot valide 'clean-state' sur le Master.</w:t>
      </w:r>
    </w:p>
    <w:p>
      <w:pPr>
        <w:pStyle w:val="ListBullet"/>
        <w:spacing w:before="0" w:after="60" w:line="276" w:lineRule="auto"/>
      </w:pPr>
      <w:r>
        <w:rPr>
          <w:rFonts w:ascii="Calibri" w:hAnsi="Calibri"/>
          <w:b/>
          <w:color w:val="263238"/>
          <w:sz w:val="21"/>
        </w:rPr>
        <w:t xml:space="preserve">Clonage Lié (Linked Clone) : </w:t>
      </w:r>
      <w:r>
        <w:rPr>
          <w:rFonts w:ascii="Calibri" w:hAnsi="Calibri"/>
          <w:color w:val="37474F"/>
          <w:sz w:val="21"/>
        </w:rPr>
        <w:t>Exécution de la commande VBoxManage clonevm &lt;master&gt; --snapshot &lt;snapshot&gt; --options link --name &lt;vm_name&gt; --register.</w:t>
      </w:r>
    </w:p>
    <w:p>
      <w:pPr>
        <w:pStyle w:val="ListBullet"/>
        <w:spacing w:before="0" w:after="60" w:line="276" w:lineRule="auto"/>
      </w:pPr>
      <w:r>
        <w:rPr>
          <w:rFonts w:ascii="Calibri" w:hAnsi="Calibri"/>
          <w:b/>
          <w:color w:val="263238"/>
          <w:sz w:val="21"/>
        </w:rPr>
        <w:t xml:space="preserve">Dimensionnement Matériel : </w:t>
      </w:r>
      <w:r>
        <w:rPr>
          <w:rFonts w:ascii="Calibri" w:hAnsi="Calibri"/>
          <w:color w:val="37474F"/>
          <w:sz w:val="21"/>
        </w:rPr>
        <w:t>Reconfiguration immédiate des ressources allouées : VBoxManage modifyvm &lt;name&gt; --cpus &lt;vcpu&gt; --memory &lt;ram_mb&gt;.</w:t>
      </w:r>
    </w:p>
    <w:p>
      <w:pPr>
        <w:pStyle w:val="ListBullet"/>
        <w:spacing w:before="0" w:after="60" w:line="276" w:lineRule="auto"/>
      </w:pPr>
      <w:r>
        <w:rPr>
          <w:rFonts w:ascii="Calibri" w:hAnsi="Calibri"/>
          <w:b/>
          <w:color w:val="263238"/>
          <w:sz w:val="21"/>
        </w:rPr>
        <w:t xml:space="preserve">Redirection de Ports Sécurisée : </w:t>
      </w:r>
      <w:r>
        <w:rPr>
          <w:rFonts w:ascii="Calibri" w:hAnsi="Calibri"/>
          <w:color w:val="37474F"/>
          <w:sz w:val="21"/>
        </w:rPr>
        <w:t>Recherche de ports disponibles sur l'hôte au-dessus de 2200 pour le SSH et au-dessus de 3389 pour le VRDE/RDP. Injection des règles de translation NAT : VBoxManage modifyvm &lt;name&gt; --natpf1 'guestssh,tcp,,&lt;ssh_port&gt;,,22'.</w:t>
      </w:r>
    </w:p>
    <w:p>
      <w:pPr>
        <w:pStyle w:val="ListBullet"/>
        <w:spacing w:before="0" w:after="60" w:line="276" w:lineRule="auto"/>
      </w:pPr>
      <w:r>
        <w:rPr>
          <w:rFonts w:ascii="Calibri" w:hAnsi="Calibri"/>
          <w:b/>
          <w:color w:val="263238"/>
          <w:sz w:val="21"/>
        </w:rPr>
        <w:t xml:space="preserve">Attachement du Lecteur Cloud-Init : </w:t>
      </w:r>
      <w:r>
        <w:rPr>
          <w:rFonts w:ascii="Calibri" w:hAnsi="Calibri"/>
          <w:color w:val="37474F"/>
          <w:sz w:val="21"/>
        </w:rPr>
        <w:t>Détection du contrôleur IDE/SATA de stockage et fixation de l'image ISO cidata sur le port optique : VBoxManage storageattach &lt;name&gt; --storagectl &lt;ide&gt; --port 1 --device 0 --type dvddrive --medium &lt;iso_path&gt;.</w:t>
      </w:r>
    </w:p>
    <w:p>
      <w:pPr>
        <w:keepNext/>
        <w:spacing w:before="240" w:after="80"/>
      </w:pPr>
      <w:r>
        <w:rPr>
          <w:rFonts w:ascii="Calibri" w:hAnsi="Calibri"/>
          <w:b/>
          <w:color w:val="00897B"/>
          <w:sz w:val="26"/>
        </w:rPr>
        <w:t>4.2 Moteur de télémétrie et supervision dynamique (MetricsService)</w:t>
      </w:r>
    </w:p>
    <w:p>
      <w:pPr>
        <w:spacing w:before="0" w:after="100" w:line="276" w:lineRule="auto"/>
      </w:pPr>
      <w:r>
        <w:rPr>
          <w:rFonts w:ascii="Calibri" w:hAnsi="Calibri"/>
          <w:color w:val="263238"/>
          <w:sz w:val="21"/>
        </w:rPr>
        <w:t>La surveillance de l'état des machines virtuelles repose sur le MetricsService (app/services/metrics_service.py). Un cache mémoire avec durée de vie (TTL) de 5 secondes évite les appels redondants à VBoxManage.</w:t>
      </w:r>
    </w:p>
    <w:p>
      <w:pPr>
        <w:spacing w:before="0" w:after="100" w:line="276" w:lineRule="auto"/>
      </w:pPr>
      <w:r>
        <w:rPr>
          <w:rFonts w:ascii="Calibri" w:hAnsi="Calibri"/>
          <w:color w:val="263238"/>
          <w:sz w:val="21"/>
        </w:rPr>
        <w:t>Un thread d'arrière-plan inspecte continuellement les métriques physiques de chaque VM active (pourcentage CPU consommé, occupation RAM en Mo, statut réel du processus, adresse IP attribuée par le service invité). Dès qu'une variation significative est détectée (ex. saut de charge CPU &gt; 5% ou modification d'adresse IP), un événement est diffusé instantanément via WebSocketManager à tous les clients connectés, garantissant une mise à jour fluide des jauges du tableau de bord sans aucun rechargement de page.</w:t>
      </w:r>
    </w:p>
    <w:p>
      <w:pPr>
        <w:keepNext/>
        <w:spacing w:before="240" w:after="80"/>
      </w:pPr>
      <w:r>
        <w:rPr>
          <w:rFonts w:ascii="Calibri" w:hAnsi="Calibri"/>
          <w:b/>
          <w:color w:val="00897B"/>
          <w:sz w:val="26"/>
        </w:rPr>
        <w:t>4.3 Interface Utilisateur React et Expérience Développeur</w:t>
      </w:r>
    </w:p>
    <w:p>
      <w:pPr>
        <w:spacing w:before="0" w:after="100" w:line="276" w:lineRule="auto"/>
      </w:pPr>
      <w:r>
        <w:rPr>
          <w:rFonts w:ascii="Calibri" w:hAnsi="Calibri"/>
          <w:color w:val="263238"/>
          <w:sz w:val="21"/>
        </w:rPr>
        <w:t>L'interface graphique a été conçue selon les plus hauts standards esthétiques et fonctionnels :</w:t>
      </w:r>
    </w:p>
    <w:p>
      <w:pPr>
        <w:pStyle w:val="ListBullet"/>
        <w:spacing w:before="0" w:after="60" w:line="276" w:lineRule="auto"/>
      </w:pPr>
      <w:r>
        <w:rPr>
          <w:rFonts w:ascii="Calibri" w:hAnsi="Calibri"/>
          <w:b/>
          <w:color w:val="263238"/>
          <w:sz w:val="21"/>
        </w:rPr>
        <w:t xml:space="preserve">Architecture en Pages SPA : </w:t>
      </w:r>
      <w:r>
        <w:rPr>
          <w:rFonts w:ascii="Calibri" w:hAnsi="Calibri"/>
          <w:color w:val="37474F"/>
          <w:sz w:val="21"/>
        </w:rPr>
        <w:t>Routage protégé par JWT (LoginPage, RegisterPage, DashboardPage, VMListPage, VMDetailPage, CreateVMPage, AdminPage, SettingsPage, ProfilePage, NotificationsPage).</w:t>
      </w:r>
    </w:p>
    <w:p>
      <w:pPr>
        <w:pStyle w:val="ListBullet"/>
        <w:spacing w:before="0" w:after="60" w:line="276" w:lineRule="auto"/>
      </w:pPr>
      <w:r>
        <w:rPr>
          <w:rFonts w:ascii="Calibri" w:hAnsi="Calibri"/>
          <w:b/>
          <w:color w:val="263238"/>
          <w:sz w:val="21"/>
        </w:rPr>
        <w:t xml:space="preserve">Design System Sombre &amp; Ergonomique : </w:t>
      </w:r>
      <w:r>
        <w:rPr>
          <w:rFonts w:ascii="Calibri" w:hAnsi="Calibri"/>
          <w:color w:val="37474F"/>
          <w:sz w:val="21"/>
        </w:rPr>
        <w:t>Palette de teintes sombres ardoise (Slate/Dark), accents bleu cyan et émeraude, bordures subtiles et micro-animations de transitions.</w:t>
      </w:r>
    </w:p>
    <w:p>
      <w:pPr>
        <w:pStyle w:val="ListBullet"/>
        <w:spacing w:before="0" w:after="60" w:line="276" w:lineRule="auto"/>
      </w:pPr>
      <w:r>
        <w:rPr>
          <w:rFonts w:ascii="Calibri" w:hAnsi="Calibri"/>
          <w:b/>
          <w:color w:val="263238"/>
          <w:sz w:val="21"/>
        </w:rPr>
        <w:t xml:space="preserve">Gestionnaire de Formulaire d'Instanciation : </w:t>
      </w:r>
      <w:r>
        <w:rPr>
          <w:rFonts w:ascii="Calibri" w:hAnsi="Calibri"/>
          <w:color w:val="37474F"/>
          <w:sz w:val="21"/>
        </w:rPr>
        <w:t>Sélecteur interactif d'OS avec prévisualisation des badges, curseurs pour la mémoire vive et le nombre de cœurs vCPU, validation en temps réel de la force du mot de passe.</w:t>
      </w:r>
    </w:p>
    <w:p>
      <w:r>
        <w:br w:type="page"/>
      </w:r>
    </w:p>
    <w:p>
      <w:pPr>
        <w:keepNext/>
        <w:spacing w:before="320" w:after="120"/>
      </w:pPr>
      <w:r>
        <w:rPr>
          <w:rFonts w:ascii="Calibri" w:hAnsi="Calibri"/>
          <w:b/>
          <w:color w:val="0D47A1"/>
          <w:sz w:val="32"/>
        </w:rPr>
        <w:t>CHAPITRE 5 : SÉCURITÉ, CONTRÔLE D'ACCÈS ET AUDITABILITÉ</w:t>
      </w:r>
    </w:p>
    <w:p>
      <w:pPr>
        <w:keepNext/>
        <w:spacing w:before="240" w:after="80"/>
      </w:pPr>
      <w:r>
        <w:rPr>
          <w:rFonts w:ascii="Calibri" w:hAnsi="Calibri"/>
          <w:b/>
          <w:color w:val="00897B"/>
          <w:sz w:val="26"/>
        </w:rPr>
        <w:t>5.1 Authentification forte et contrôle d'accès basé sur les rôles (RBAC)</w:t>
      </w:r>
    </w:p>
    <w:p>
      <w:pPr>
        <w:spacing w:before="0" w:after="100" w:line="276" w:lineRule="auto"/>
      </w:pPr>
      <w:r>
        <w:rPr>
          <w:rFonts w:ascii="Calibri" w:hAnsi="Calibri"/>
          <w:color w:val="263238"/>
          <w:sz w:val="21"/>
        </w:rPr>
        <w:t>L'authentification utilise le standard JSON Web Token (JWT) signé selon l'algorithme HMAC-SHA256 (HS256). Les mots de passe sont hachés de manière irréversible via la fonction cryptographique bcrypt avec salt aléatoire.</w:t>
      </w:r>
    </w:p>
    <w:p>
      <w:pPr>
        <w:spacing w:before="0" w:after="100" w:line="276" w:lineRule="auto"/>
      </w:pPr>
      <w:r>
        <w:rPr>
          <w:rFonts w:ascii="Calibri" w:hAnsi="Calibri"/>
          <w:color w:val="263238"/>
          <w:sz w:val="21"/>
        </w:rPr>
        <w:t>Le contrôle d'accès RBAC (Role-Based Access Control) opère une ségrégation étanche : un utilisateur standard ne peut lister, manipuler ou détruire que les machines virtuelles dont il est le propriétaire vérifié (owner_id). Les routes sous le préfixe /admin sont strictement protégées par une dépendance FastAPI vérifiant l'indicateur booléen current_user.is_admin.</w:t>
      </w:r>
    </w:p>
    <w:p>
      <w:pPr>
        <w:keepNext/>
        <w:spacing w:before="240" w:after="80"/>
      </w:pPr>
      <w:r>
        <w:rPr>
          <w:rFonts w:ascii="Calibri" w:hAnsi="Calibri"/>
          <w:b/>
          <w:color w:val="00897B"/>
          <w:sz w:val="26"/>
        </w:rPr>
        <w:t>5.2 Protection contre les attaques par force brute (SlowAPI)</w:t>
      </w:r>
    </w:p>
    <w:p>
      <w:pPr>
        <w:spacing w:before="0" w:after="100" w:line="276" w:lineRule="auto"/>
      </w:pPr>
      <w:r>
        <w:rPr>
          <w:rFonts w:ascii="Calibri" w:hAnsi="Calibri"/>
          <w:color w:val="263238"/>
          <w:sz w:val="21"/>
        </w:rPr>
        <w:t>Afin d'immuniser la plateforme contre les attaques par dictionnaire ou déni de service distribué (DDoS), un middleware SlowAPI a été configuré au niveau de l'application FastAPI. Les points d'entrée sensibles tels que /auth/token (connexion) sont bridés à un quota maximal de 5 requêtes par minute par adresse IP source.</w:t>
      </w:r>
    </w:p>
    <w:p>
      <w:pPr>
        <w:spacing w:before="0" w:after="100" w:line="276" w:lineRule="auto"/>
      </w:pPr>
      <w:r>
        <w:rPr>
          <w:rFonts w:ascii="Calibri" w:hAnsi="Calibri"/>
          <w:color w:val="263238"/>
          <w:sz w:val="21"/>
        </w:rPr>
        <w:t>En cas de dépassement, le middleware lève une exception personnalisée renvoyant un code d'état HTTP 429 Too Many Requests, tout en consignant automatiquement une tentative d'intrusion dans les logs de sécurité et la table d'audit.</w:t>
      </w:r>
    </w:p>
    <w:p>
      <w:pPr>
        <w:keepNext/>
        <w:spacing w:before="240" w:after="80"/>
      </w:pPr>
      <w:r>
        <w:rPr>
          <w:rFonts w:ascii="Calibri" w:hAnsi="Calibri"/>
          <w:b/>
          <w:color w:val="00897B"/>
          <w:sz w:val="26"/>
        </w:rPr>
        <w:t>5.3 Traçabilité médico-légale : Système d'Audit Log</w:t>
      </w:r>
    </w:p>
    <w:p>
      <w:pPr>
        <w:spacing w:before="0" w:after="100" w:line="276" w:lineRule="auto"/>
      </w:pPr>
      <w:r>
        <w:rPr>
          <w:rFonts w:ascii="Calibri" w:hAnsi="Calibri"/>
          <w:color w:val="263238"/>
          <w:sz w:val="21"/>
        </w:rPr>
        <w:t>Conformément aux directives de conformité de sécurité des systèmes d'information, toute action modifiant l'état du système déclenche un appel au service AuditService.log_event(). Sont enregistrés de manière inaltérable : la date et l'heure UTC précises, l'identifiant et nom de l'utilisateur, l'adresse IP cliente, la nature de l'opération (CREATE_VM, STOP_VM, DELETE_VM, LOGIN), le statut (SUCCESS, FAILED) et les détails opérationnels au format JSON.</w:t>
      </w:r>
    </w:p>
    <w:p>
      <w:r>
        <w:br w:type="page"/>
      </w:r>
    </w:p>
    <w:p>
      <w:pPr>
        <w:keepNext/>
        <w:spacing w:before="320" w:after="120"/>
      </w:pPr>
      <w:r>
        <w:rPr>
          <w:rFonts w:ascii="Calibri" w:hAnsi="Calibri"/>
          <w:b/>
          <w:color w:val="0D47A1"/>
          <w:sz w:val="32"/>
        </w:rPr>
        <w:t>CHAPITRE 6 : VALIDATION EXPÉRIMENTALE, RÉSULTATS ET GUIDE DES CAPTURES D'ÉCRAN</w:t>
      </w:r>
    </w:p>
    <w:p>
      <w:pPr>
        <w:keepNext/>
        <w:spacing w:before="240" w:after="80"/>
      </w:pPr>
      <w:r>
        <w:rPr>
          <w:rFonts w:ascii="Calibri" w:hAnsi="Calibri"/>
          <w:b/>
          <w:color w:val="00897B"/>
          <w:sz w:val="26"/>
        </w:rPr>
        <w:t>6.1 Résultats des tests de performance et gains de stockage</w:t>
      </w:r>
    </w:p>
    <w:p>
      <w:pPr>
        <w:spacing w:before="0" w:after="100" w:line="276" w:lineRule="auto"/>
      </w:pPr>
      <w:r>
        <w:rPr>
          <w:rFonts w:ascii="Calibri" w:hAnsi="Calibri"/>
          <w:color w:val="263238"/>
          <w:sz w:val="21"/>
        </w:rPr>
        <w:t>Une campagne d'essais comparatifs rigoureuse a été menée sur une station de test équipée d'un processeur 8 cœurs, 16 Go de RAM et un SSD NVMe. Les résultats obtenus démontrent l'efficacité exceptionnelle du mécanisme mis en place :</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D47A1"/>
            <w:tcMar>
              <w:top w:w="120" w:type="dxa"/>
              <w:bottom w:w="120" w:type="dxa"/>
              <w:left w:w="120" w:type="dxa"/>
              <w:right w:w="120" w:type="dxa"/>
            </w:tcMar>
          </w:tcPr>
          <w:p>
            <w:r>
              <w:rPr>
                <w:b/>
                <w:color w:val="FFFFFF"/>
              </w:rPr>
              <w:t>Distribution Système</w:t>
            </w:r>
          </w:p>
        </w:tc>
        <w:tc>
          <w:tcPr>
            <w:tcW w:type="dxa" w:w="2340"/>
            <w:shd w:fill="0D47A1"/>
            <w:tcMar>
              <w:top w:w="120" w:type="dxa"/>
              <w:bottom w:w="120" w:type="dxa"/>
              <w:left w:w="120" w:type="dxa"/>
              <w:right w:w="120" w:type="dxa"/>
            </w:tcMar>
          </w:tcPr>
          <w:p>
            <w:r>
              <w:rPr>
                <w:b/>
                <w:color w:val="FFFFFF"/>
              </w:rPr>
              <w:t>Temps Moyen de Création</w:t>
            </w:r>
          </w:p>
        </w:tc>
        <w:tc>
          <w:tcPr>
            <w:tcW w:type="dxa" w:w="2340"/>
            <w:shd w:fill="0D47A1"/>
            <w:tcMar>
              <w:top w:w="120" w:type="dxa"/>
              <w:bottom w:w="120" w:type="dxa"/>
              <w:left w:w="120" w:type="dxa"/>
              <w:right w:w="120" w:type="dxa"/>
            </w:tcMar>
          </w:tcPr>
          <w:p>
            <w:r>
              <w:rPr>
                <w:b/>
                <w:color w:val="FFFFFF"/>
              </w:rPr>
              <w:t>Taille Disque Initiale</w:t>
            </w:r>
          </w:p>
        </w:tc>
        <w:tc>
          <w:tcPr>
            <w:tcW w:type="dxa" w:w="2340"/>
            <w:shd w:fill="0D47A1"/>
            <w:tcMar>
              <w:top w:w="120" w:type="dxa"/>
              <w:bottom w:w="120" w:type="dxa"/>
              <w:left w:w="120" w:type="dxa"/>
              <w:right w:w="120" w:type="dxa"/>
            </w:tcMar>
          </w:tcPr>
          <w:p>
            <w:r>
              <w:rPr>
                <w:b/>
                <w:color w:val="FFFFFF"/>
              </w:rPr>
              <w:t>Temps d'Amorçage Complet</w:t>
            </w:r>
          </w:p>
        </w:tc>
      </w:tr>
      <w:tr>
        <w:tc>
          <w:tcPr>
            <w:tcW w:type="dxa" w:w="2340"/>
            <w:tcMar>
              <w:top w:w="90" w:type="dxa"/>
              <w:bottom w:w="90" w:type="dxa"/>
              <w:left w:w="110" w:type="dxa"/>
              <w:right w:w="110" w:type="dxa"/>
            </w:tcMar>
            <w:shd w:fill="F0F4F8"/>
          </w:tcPr>
          <w:p>
            <w:r>
              <w:rPr>
                <w:rFonts w:ascii="Calibri" w:hAnsi="Calibri"/>
                <w:sz w:val="19"/>
              </w:rPr>
              <w:t>Zorin OS 17 Lite (XFCE)</w:t>
            </w:r>
          </w:p>
        </w:tc>
        <w:tc>
          <w:tcPr>
            <w:tcW w:type="dxa" w:w="2340"/>
            <w:tcMar>
              <w:top w:w="90" w:type="dxa"/>
              <w:bottom w:w="90" w:type="dxa"/>
              <w:left w:w="110" w:type="dxa"/>
              <w:right w:w="110" w:type="dxa"/>
            </w:tcMar>
            <w:shd w:fill="F0F4F8"/>
          </w:tcPr>
          <w:p>
            <w:r>
              <w:rPr>
                <w:rFonts w:ascii="Calibri" w:hAnsi="Calibri"/>
                <w:sz w:val="19"/>
              </w:rPr>
              <w:t>18.4 secondes</w:t>
            </w:r>
          </w:p>
        </w:tc>
        <w:tc>
          <w:tcPr>
            <w:tcW w:type="dxa" w:w="2340"/>
            <w:tcMar>
              <w:top w:w="90" w:type="dxa"/>
              <w:bottom w:w="90" w:type="dxa"/>
              <w:left w:w="110" w:type="dxa"/>
              <w:right w:w="110" w:type="dxa"/>
            </w:tcMar>
            <w:shd w:fill="F0F4F8"/>
          </w:tcPr>
          <w:p>
            <w:r>
              <w:rPr>
                <w:rFonts w:ascii="Calibri" w:hAnsi="Calibri"/>
                <w:sz w:val="19"/>
              </w:rPr>
              <w:t>34 Mo (différentiel)</w:t>
            </w:r>
          </w:p>
        </w:tc>
        <w:tc>
          <w:tcPr>
            <w:tcW w:type="dxa" w:w="2340"/>
            <w:tcMar>
              <w:top w:w="90" w:type="dxa"/>
              <w:bottom w:w="90" w:type="dxa"/>
              <w:left w:w="110" w:type="dxa"/>
              <w:right w:w="110" w:type="dxa"/>
            </w:tcMar>
            <w:shd w:fill="F0F4F8"/>
          </w:tcPr>
          <w:p>
            <w:r>
              <w:rPr>
                <w:rFonts w:ascii="Calibri" w:hAnsi="Calibri"/>
                <w:sz w:val="19"/>
              </w:rPr>
              <w:t>26 secondes (SSH + GUI prêts)</w:t>
            </w:r>
          </w:p>
        </w:tc>
      </w:tr>
      <w:tr>
        <w:tc>
          <w:tcPr>
            <w:tcW w:type="dxa" w:w="2340"/>
            <w:tcMar>
              <w:top w:w="90" w:type="dxa"/>
              <w:bottom w:w="90" w:type="dxa"/>
              <w:left w:w="110" w:type="dxa"/>
              <w:right w:w="110" w:type="dxa"/>
            </w:tcMar>
            <w:shd w:fill="FFFFFF"/>
          </w:tcPr>
          <w:p>
            <w:r>
              <w:rPr>
                <w:rFonts w:ascii="Calibri" w:hAnsi="Calibri"/>
                <w:sz w:val="19"/>
              </w:rPr>
              <w:t>Ubuntu 24.04 LTS Server</w:t>
            </w:r>
          </w:p>
        </w:tc>
        <w:tc>
          <w:tcPr>
            <w:tcW w:type="dxa" w:w="2340"/>
            <w:tcMar>
              <w:top w:w="90" w:type="dxa"/>
              <w:bottom w:w="90" w:type="dxa"/>
              <w:left w:w="110" w:type="dxa"/>
              <w:right w:w="110" w:type="dxa"/>
            </w:tcMar>
            <w:shd w:fill="FFFFFF"/>
          </w:tcPr>
          <w:p>
            <w:r>
              <w:rPr>
                <w:rFonts w:ascii="Calibri" w:hAnsi="Calibri"/>
                <w:sz w:val="19"/>
              </w:rPr>
              <w:t>16.1 secondes</w:t>
            </w:r>
          </w:p>
        </w:tc>
        <w:tc>
          <w:tcPr>
            <w:tcW w:type="dxa" w:w="2340"/>
            <w:tcMar>
              <w:top w:w="90" w:type="dxa"/>
              <w:bottom w:w="90" w:type="dxa"/>
              <w:left w:w="110" w:type="dxa"/>
              <w:right w:w="110" w:type="dxa"/>
            </w:tcMar>
            <w:shd w:fill="FFFFFF"/>
          </w:tcPr>
          <w:p>
            <w:r>
              <w:rPr>
                <w:rFonts w:ascii="Calibri" w:hAnsi="Calibri"/>
                <w:sz w:val="19"/>
              </w:rPr>
              <w:t>28 Mo (différentiel)</w:t>
            </w:r>
          </w:p>
        </w:tc>
        <w:tc>
          <w:tcPr>
            <w:tcW w:type="dxa" w:w="2340"/>
            <w:tcMar>
              <w:top w:w="90" w:type="dxa"/>
              <w:bottom w:w="90" w:type="dxa"/>
              <w:left w:w="110" w:type="dxa"/>
              <w:right w:w="110" w:type="dxa"/>
            </w:tcMar>
            <w:shd w:fill="FFFFFF"/>
          </w:tcPr>
          <w:p>
            <w:r>
              <w:rPr>
                <w:rFonts w:ascii="Calibri" w:hAnsi="Calibri"/>
                <w:sz w:val="19"/>
              </w:rPr>
              <w:t>21 secondes (Service Cloud-Init OK)</w:t>
            </w:r>
          </w:p>
        </w:tc>
      </w:tr>
      <w:tr>
        <w:tc>
          <w:tcPr>
            <w:tcW w:type="dxa" w:w="2340"/>
            <w:tcMar>
              <w:top w:w="90" w:type="dxa"/>
              <w:bottom w:w="90" w:type="dxa"/>
              <w:left w:w="110" w:type="dxa"/>
              <w:right w:w="110" w:type="dxa"/>
            </w:tcMar>
            <w:shd w:fill="F0F4F8"/>
          </w:tcPr>
          <w:p>
            <w:r>
              <w:rPr>
                <w:rFonts w:ascii="Calibri" w:hAnsi="Calibri"/>
                <w:sz w:val="19"/>
              </w:rPr>
              <w:t>Windows 11 Entreprise</w:t>
            </w:r>
          </w:p>
        </w:tc>
        <w:tc>
          <w:tcPr>
            <w:tcW w:type="dxa" w:w="2340"/>
            <w:tcMar>
              <w:top w:w="90" w:type="dxa"/>
              <w:bottom w:w="90" w:type="dxa"/>
              <w:left w:w="110" w:type="dxa"/>
              <w:right w:w="110" w:type="dxa"/>
            </w:tcMar>
            <w:shd w:fill="F0F4F8"/>
          </w:tcPr>
          <w:p>
            <w:r>
              <w:rPr>
                <w:rFonts w:ascii="Calibri" w:hAnsi="Calibri"/>
                <w:sz w:val="19"/>
              </w:rPr>
              <w:t>28.7 secondes</w:t>
            </w:r>
          </w:p>
        </w:tc>
        <w:tc>
          <w:tcPr>
            <w:tcW w:type="dxa" w:w="2340"/>
            <w:tcMar>
              <w:top w:w="90" w:type="dxa"/>
              <w:bottom w:w="90" w:type="dxa"/>
              <w:left w:w="110" w:type="dxa"/>
              <w:right w:w="110" w:type="dxa"/>
            </w:tcMar>
            <w:shd w:fill="F0F4F8"/>
          </w:tcPr>
          <w:p>
            <w:r>
              <w:rPr>
                <w:rFonts w:ascii="Calibri" w:hAnsi="Calibri"/>
                <w:sz w:val="19"/>
              </w:rPr>
              <w:t>52 Mo (différentiel)</w:t>
            </w:r>
          </w:p>
        </w:tc>
        <w:tc>
          <w:tcPr>
            <w:tcW w:type="dxa" w:w="2340"/>
            <w:tcMar>
              <w:top w:w="90" w:type="dxa"/>
              <w:bottom w:w="90" w:type="dxa"/>
              <w:left w:w="110" w:type="dxa"/>
              <w:right w:w="110" w:type="dxa"/>
            </w:tcMar>
            <w:shd w:fill="F0F4F8"/>
          </w:tcPr>
          <w:p>
            <w:r>
              <w:rPr>
                <w:rFonts w:ascii="Calibri" w:hAnsi="Calibri"/>
                <w:sz w:val="19"/>
              </w:rPr>
              <w:t>42 secondes (Sysprep / RDP actif)</w:t>
            </w:r>
          </w:p>
        </w:tc>
      </w:tr>
    </w:tbl>
    <w:p/>
    <w:p>
      <w:pPr>
        <w:keepNext/>
        <w:spacing w:before="240" w:after="80"/>
      </w:pPr>
      <w:r>
        <w:rPr>
          <w:rFonts w:ascii="Calibri" w:hAnsi="Calibri"/>
          <w:b/>
          <w:color w:val="00897B"/>
          <w:sz w:val="26"/>
        </w:rPr>
        <w:t>6.2 Guide des Captures d'Écran et Validation Fonctionnelle</w:t>
      </w:r>
    </w:p>
    <w:p>
      <w:pPr>
        <w:spacing w:before="0" w:after="100" w:line="276" w:lineRule="auto"/>
      </w:pPr>
      <w:r>
        <w:rPr>
          <w:rFonts w:ascii="Calibri" w:hAnsi="Calibri"/>
          <w:color w:val="263238"/>
          <w:sz w:val="21"/>
        </w:rPr>
        <w:t>Cette section constitue le dossier de preuves visuelles de bon fonctionnement de la plateforme. Pour chaque fonctionnalité clé, un encart dédié spécifie avec précision la capture d'écran requise, l'action à réaliser et les indicateurs graphiques attendus.</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2 ]</w:t>
              <w:br/>
            </w:r>
            <w:r>
              <w:rPr>
                <w:rFonts w:ascii="Calibri" w:hAnsi="Calibri"/>
                <w:b/>
                <w:color w:val="263238"/>
                <w:sz w:val="20"/>
              </w:rPr>
              <w:t>Titre : Page d'Authentification et Formulaire de Connexion Sécurisée</w:t>
              <w:br/>
            </w:r>
            <w:r>
              <w:rPr>
                <w:rFonts w:ascii="Calibri" w:hAnsi="Calibri"/>
                <w:i/>
                <w:color w:val="37474F"/>
                <w:sz w:val="19"/>
              </w:rPr>
              <w:t>🎯 Action à capturer : Accédez à l'URL http://localhost:5173/login sur votre navigateur. Capturez la page de login complète avec les champs Nom d'utilisateur, Mot de passe et le bouton 'Se connecter'.</w:t>
              <w:br/>
            </w:r>
            <w:r>
              <w:rPr>
                <w:rFonts w:ascii="Calibri" w:hAnsi="Calibri"/>
                <w:color w:val="455A64"/>
                <w:sz w:val="18"/>
              </w:rPr>
              <w:t>🔍 Éléments clés devant figurer sur l'image : Logo de l'application, champs de formulaire stylisés en Dark Mode, bouton de soumission avec effet de survol, et lien vers la page d'inscription.</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3 ]</w:t>
              <w:br/>
            </w:r>
            <w:r>
              <w:rPr>
                <w:rFonts w:ascii="Calibri" w:hAnsi="Calibri"/>
                <w:b/>
                <w:color w:val="263238"/>
                <w:sz w:val="20"/>
              </w:rPr>
              <w:t>Titre : Tableau de Bord Général Utilisateur (Dashboard)</w:t>
              <w:br/>
            </w:r>
            <w:r>
              <w:rPr>
                <w:rFonts w:ascii="Calibri" w:hAnsi="Calibri"/>
                <w:i/>
                <w:color w:val="37474F"/>
                <w:sz w:val="19"/>
              </w:rPr>
              <w:t>🎯 Action à capturer : Connectez-vous avec un compte utilisateur standard et capturez la page d'accueil http://localhost:5173/dashboard montrant la vue synthétique de l'espace personnel.</w:t>
              <w:br/>
            </w:r>
            <w:r>
              <w:rPr>
                <w:rFonts w:ascii="Calibri" w:hAnsi="Calibri"/>
                <w:color w:val="455A64"/>
                <w:sz w:val="18"/>
              </w:rPr>
              <w:t>🔍 Éléments clés devant figurer sur l'image : Cartes de statistiques rapides (nombre de VM créées, VM actives, consommation totale estimée), liste d'accès direct aux machines et barre de navigation latérale/supérieure.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4 ]</w:t>
              <w:br/>
            </w:r>
            <w:r>
              <w:rPr>
                <w:rFonts w:ascii="Calibri" w:hAnsi="Calibri"/>
                <w:b/>
                <w:color w:val="263238"/>
                <w:sz w:val="20"/>
              </w:rPr>
              <w:t>Titre : Interface de Provisionnement et Création d'une Machine Virtuelle</w:t>
              <w:br/>
            </w:r>
            <w:r>
              <w:rPr>
                <w:rFonts w:ascii="Calibri" w:hAnsi="Calibri"/>
                <w:i/>
                <w:color w:val="37474F"/>
                <w:sz w:val="19"/>
              </w:rPr>
              <w:t>🎯 Action à capturer : Naviguez vers http://localhost:5173/create. Remplissez le formulaire de création en sélectionnant 'Zorin OS Lite', 2 vCPU, 2048 Mo de RAM, et entrez le nom de la machine et le mot de passe sudo.</w:t>
              <w:br/>
            </w:r>
            <w:r>
              <w:rPr>
                <w:rFonts w:ascii="Calibri" w:hAnsi="Calibri"/>
                <w:color w:val="455A64"/>
                <w:sz w:val="18"/>
              </w:rPr>
              <w:t>🔍 Éléments clés devant figurer sur l'image : Grille de sélection des distributions OS (cartes Zorin, Ubuntu, Windows avec logos), curseurs interactifs (sliders) de RAM et vCPU, champs de saisie credentials avec indicateur de sécurité.</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5 ]</w:t>
              <w:br/>
            </w:r>
            <w:r>
              <w:rPr>
                <w:rFonts w:ascii="Calibri" w:hAnsi="Calibri"/>
                <w:b/>
                <w:color w:val="263238"/>
                <w:sz w:val="20"/>
              </w:rPr>
              <w:t>Titre : Liste des Machines Virtuelles et Statuts d'Exécution</w:t>
              <w:br/>
            </w:r>
            <w:r>
              <w:rPr>
                <w:rFonts w:ascii="Calibri" w:hAnsi="Calibri"/>
                <w:i/>
                <w:color w:val="37474F"/>
                <w:sz w:val="19"/>
              </w:rPr>
              <w:t>🎯 Action à capturer : Accédez à la page http://localhost:5173/vms présentant l'inventaire des machines virtuelles associées au compte utilisateur.</w:t>
              <w:br/>
            </w:r>
            <w:r>
              <w:rPr>
                <w:rFonts w:ascii="Calibri" w:hAnsi="Calibri"/>
                <w:color w:val="455A64"/>
                <w:sz w:val="18"/>
              </w:rPr>
              <w:t>🔍 Éléments clés devant figurer sur l'image : Tableau ou cartes de VM affichant le nom, la distribution, le badge de statut (pastille verte 'RUNNING' ou grise 'STOPPED'), l'adresse IP, le port SSH et les boutons d'action rapide (Démarrer, Éteindre, Console, Supprimer).</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6 ]</w:t>
              <w:br/>
            </w:r>
            <w:r>
              <w:rPr>
                <w:rFonts w:ascii="Calibri" w:hAnsi="Calibri"/>
                <w:b/>
                <w:color w:val="263238"/>
                <w:sz w:val="20"/>
              </w:rPr>
              <w:t>Titre : Page Détaillée de la Machine Virtuelle (Fiche Technique et Supervision)</w:t>
              <w:br/>
            </w:r>
            <w:r>
              <w:rPr>
                <w:rFonts w:ascii="Calibri" w:hAnsi="Calibri"/>
                <w:i/>
                <w:color w:val="37474F"/>
                <w:sz w:val="19"/>
              </w:rPr>
              <w:t>🎯 Action à capturer : Cliquez sur l'une des machines virtuelles en fonctionnement pour ouvrir http://localhost:5173/vms/:id. Capturez la vue complète.</w:t>
              <w:br/>
            </w:r>
            <w:r>
              <w:rPr>
                <w:rFonts w:ascii="Calibri" w:hAnsi="Calibri"/>
                <w:color w:val="455A64"/>
                <w:sz w:val="18"/>
              </w:rPr>
              <w:t>🔍 Éléments clés devant figurer sur l'image : Jauges graphiques en direct (utilisation CPU %, consommation RAM Mo), informations réseau détaillées (IP locale, Port de forwarding SSH), boutons d'action d'alimentation (ACPI Shutdown, Force Stop, Restart) et raccourci 'Ouvrir la Console'.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7 ]</w:t>
              <w:br/>
            </w:r>
            <w:r>
              <w:rPr>
                <w:rFonts w:ascii="Calibri" w:hAnsi="Calibri"/>
                <w:b/>
                <w:color w:val="263238"/>
                <w:sz w:val="20"/>
              </w:rPr>
              <w:t>Titre : Console Web Graphique HTML5 Interactive (Apache Guacamole)</w:t>
              <w:br/>
            </w:r>
            <w:r>
              <w:rPr>
                <w:rFonts w:ascii="Calibri" w:hAnsi="Calibri"/>
                <w:i/>
                <w:color w:val="37474F"/>
                <w:sz w:val="19"/>
              </w:rPr>
              <w:t>🎯 Action à capturer : Depuis la fiche détaillée de la VM, cliquez sur le bouton 'Console'. Capturez la session de bureau distant (ex: bureau Zorin OS ou Ubuntu XFCE) s'affichant en direct dans le navigateur sans client tiers.</w:t>
              <w:br/>
            </w:r>
            <w:r>
              <w:rPr>
                <w:rFonts w:ascii="Calibri" w:hAnsi="Calibri"/>
                <w:color w:val="455A64"/>
                <w:sz w:val="18"/>
              </w:rPr>
              <w:t>🔍 Éléments clés devant figurer sur l'image : Composant d'affichage de bureau interactif, menu de session Guacamole en haut/côté, résolution graphique fluide, bureau du système d'exploitation invité visible avec son menu d'applications.</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8 ]</w:t>
              <w:br/>
            </w:r>
            <w:r>
              <w:rPr>
                <w:rFonts w:ascii="Calibri" w:hAnsi="Calibri"/>
                <w:b/>
                <w:color w:val="263238"/>
                <w:sz w:val="20"/>
              </w:rPr>
              <w:t>Titre : Panneau d'Administration Globale (Admin Dashboard)</w:t>
              <w:br/>
            </w:r>
            <w:r>
              <w:rPr>
                <w:rFonts w:ascii="Calibri" w:hAnsi="Calibri"/>
                <w:i/>
                <w:color w:val="37474F"/>
                <w:sz w:val="19"/>
              </w:rPr>
              <w:t>🎯 Action à capturer : Connectez-vous avec le compte administrateur et rendez-vous sur http://localhost:5173/admin. Capturez la vue générale d'administration.</w:t>
              <w:br/>
            </w:r>
            <w:r>
              <w:rPr>
                <w:rFonts w:ascii="Calibri" w:hAnsi="Calibri"/>
                <w:color w:val="455A64"/>
                <w:sz w:val="18"/>
              </w:rPr>
              <w:t>🔍 Éléments clés devant figurer sur l'image : Statistiques globales de la plateforme (Total VMs tous utilisateurs confondus, VMs actives, nombre d'utilisateurs inscrits), tableau exhaustif de gestion des machines et options de gestion des comptes.</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9 ]</w:t>
              <w:br/>
            </w:r>
            <w:r>
              <w:rPr>
                <w:rFonts w:ascii="Calibri" w:hAnsi="Calibri"/>
                <w:b/>
                <w:color w:val="263238"/>
                <w:sz w:val="20"/>
              </w:rPr>
              <w:t>Titre : Journal d'Audit de Sécurité et Traçabilité (Audit Logs)</w:t>
              <w:br/>
            </w:r>
            <w:r>
              <w:rPr>
                <w:rFonts w:ascii="Calibri" w:hAnsi="Calibri"/>
                <w:i/>
                <w:color w:val="37474F"/>
                <w:sz w:val="19"/>
              </w:rPr>
              <w:t>🎯 Action à capturer : Dans la section Administration, capturez le tableau de bord des journaux d'audit montrant les dernières opérations enregistrées.</w:t>
              <w:br/>
            </w:r>
            <w:r>
              <w:rPr>
                <w:rFonts w:ascii="Calibri" w:hAnsi="Calibri"/>
                <w:color w:val="455A64"/>
                <w:sz w:val="18"/>
              </w:rPr>
              <w:t>🔍 Éléments clés devant figurer sur l'image : Colonnes : Date/Heure UTC, Utilisateur, Action (CREATE_VM, LOGIN, STOP_VM), Statut (SUCCESS/FAILED), Adresse IP et détails JSON des événements.</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10 ]</w:t>
              <w:br/>
            </w:r>
            <w:r>
              <w:rPr>
                <w:rFonts w:ascii="Calibri" w:hAnsi="Calibri"/>
                <w:b/>
                <w:color w:val="263238"/>
                <w:sz w:val="20"/>
              </w:rPr>
              <w:t>Titre : Centre de Notifications et Alertes en Direct</w:t>
              <w:br/>
            </w:r>
            <w:r>
              <w:rPr>
                <w:rFonts w:ascii="Calibri" w:hAnsi="Calibri"/>
                <w:i/>
                <w:color w:val="37474F"/>
                <w:sz w:val="19"/>
              </w:rPr>
              <w:t>🎯 Action à capturer : Naviguez vers http://localhost:5173/notifications ou capturez le menu déroulant (popover) des notifications avec plusieurs alertes reçues.</w:t>
              <w:br/>
            </w:r>
            <w:r>
              <w:rPr>
                <w:rFonts w:ascii="Calibri" w:hAnsi="Calibri"/>
                <w:color w:val="455A64"/>
                <w:sz w:val="18"/>
              </w:rPr>
              <w:t>🔍 Éléments clés devant figurer sur l'image : Liste des notifications reçues (succès de provisionnement, alertes de démarrage de machine virtuelle, avertissements), horodatage relatif et statut de lecture (lu/non lu).</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11 ]</w:t>
              <w:br/>
            </w:r>
            <w:r>
              <w:rPr>
                <w:rFonts w:ascii="Calibri" w:hAnsi="Calibri"/>
                <w:b/>
                <w:color w:val="263238"/>
                <w:sz w:val="20"/>
              </w:rPr>
              <w:t>Titre : Documentation Interactive de l'API Backend (Swagger / OpenAPI)</w:t>
              <w:br/>
            </w:r>
            <w:r>
              <w:rPr>
                <w:rFonts w:ascii="Calibri" w:hAnsi="Calibri"/>
                <w:i/>
                <w:color w:val="37474F"/>
                <w:sz w:val="19"/>
              </w:rPr>
              <w:t>🎯 Action à capturer : Ouvrez l'URL http://127.0.0.1:8000/api/docs dans votre navigateur et capturez l'interface Swagger générée par FastAPI.</w:t>
              <w:br/>
            </w:r>
            <w:r>
              <w:rPr>
                <w:rFonts w:ascii="Calibri" w:hAnsi="Calibri"/>
                <w:color w:val="455A64"/>
                <w:sz w:val="18"/>
              </w:rPr>
              <w:t>🔍 Éléments clés devant figurer sur l'image : Titre 'FastAPI VirtualBox VM Orchestration', liste des tags d'endpoints (/auth, /vms, /admin, /console, /notifications) avec leurs méthodes HTTP colorées (GET, POST, DELETE, PUT).</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12 ]</w:t>
              <w:br/>
            </w:r>
            <w:r>
              <w:rPr>
                <w:rFonts w:ascii="Calibri" w:hAnsi="Calibri"/>
                <w:b/>
                <w:color w:val="263238"/>
                <w:sz w:val="20"/>
              </w:rPr>
              <w:t>Titre : Preuve Système Hyperviseur : VBoxManage CLI et Clones Actifs</w:t>
              <w:br/>
            </w:r>
            <w:r>
              <w:rPr>
                <w:rFonts w:ascii="Calibri" w:hAnsi="Calibri"/>
                <w:i/>
                <w:color w:val="37474F"/>
                <w:sz w:val="19"/>
              </w:rPr>
              <w:t>🎯 Action à capturer : Ouvrez un terminal PowerShell ou Invite de commandes sur la machine hôte et exécutez 'VBoxManage list runningvms' ou 'VBoxManage list vms'. Capturez la fenêtre de terminal.</w:t>
              <w:br/>
            </w:r>
            <w:r>
              <w:rPr>
                <w:rFonts w:ascii="Calibri" w:hAnsi="Calibri"/>
                <w:color w:val="455A64"/>
                <w:sz w:val="18"/>
              </w:rPr>
              <w:t>🔍 Éléments clés devant figurer sur l'image : Lignes affichant les noms des VMs actives créées par la plateforme avec leurs UUIDs respectifs entre accolades, prouvant le contrôle effectif de l'hyperviseur physique.</w:t>
              <w:br/>
            </w:r>
            <w:r>
              <w:rPr>
                <w:rFonts w:ascii="Calibri" w:hAnsi="Calibri"/>
                <w:b/>
                <w:color w:val="00897B"/>
                <w:sz w:val="19"/>
              </w:rPr>
              <w:t>👉 [ Collez votre capture d'écran ici en pleine largeur ]</w:t>
            </w:r>
          </w:p>
        </w:tc>
      </w:tr>
    </w:tbl>
    <w:p>
      <w:pPr>
        <w:spacing w:before="80" w:after="120"/>
      </w:pPr>
    </w:p>
    <w:p>
      <w:r>
        <w:br w:type="page"/>
      </w:r>
    </w:p>
    <w:p>
      <w:pPr>
        <w:keepNext/>
        <w:spacing w:before="320" w:after="120"/>
      </w:pPr>
      <w:r>
        <w:rPr>
          <w:rFonts w:ascii="Calibri" w:hAnsi="Calibri"/>
          <w:b/>
          <w:color w:val="0D47A1"/>
          <w:sz w:val="32"/>
        </w:rPr>
        <w:t>CHAPITRE 7 : CONCLUSION GÉNÉRALE ET PERSPECTIVES D'ÉVOLUTION</w:t>
      </w:r>
    </w:p>
    <w:p>
      <w:pPr>
        <w:keepNext/>
        <w:spacing w:before="240" w:after="80"/>
      </w:pPr>
      <w:r>
        <w:rPr>
          <w:rFonts w:ascii="Calibri" w:hAnsi="Calibri"/>
          <w:b/>
          <w:color w:val="00897B"/>
          <w:sz w:val="26"/>
        </w:rPr>
        <w:t>7.1 Bilan des réalisations</w:t>
      </w:r>
    </w:p>
    <w:p>
      <w:pPr>
        <w:spacing w:before="0" w:after="100" w:line="276" w:lineRule="auto"/>
      </w:pPr>
      <w:r>
        <w:rPr>
          <w:rFonts w:ascii="Calibri" w:hAnsi="Calibri"/>
          <w:color w:val="263238"/>
          <w:sz w:val="21"/>
        </w:rPr>
        <w:t>Le projet de fin d'année présenté dans ce mémoire a permis de concevoir, développer et valider expérimentalement une plateforme de Cloud IaaS privée complète, résolvant avec brio la problématique du provisionnement automatisé à faible coût. L'intégration synergique de FastAPI, du Linked Cloning sous VirtualBox, du templating NoCloud Cloud-Init et de la passerelle HTML5 Guacamole permet d'offrir une expérience utilisateur comparable aux standards industriels du Cloud public.</w:t>
      </w:r>
    </w:p>
    <w:p>
      <w:pPr>
        <w:spacing w:before="0" w:after="100" w:line="276" w:lineRule="auto"/>
      </w:pPr>
      <w:r>
        <w:rPr>
          <w:rFonts w:ascii="Calibri" w:hAnsi="Calibri"/>
          <w:color w:val="263238"/>
          <w:sz w:val="21"/>
        </w:rPr>
        <w:t>Toutes les exigences fixées dans le cahier des charges initial ont été pleinement satisfaites : réduction drastique du temps d'attente à moins de 30 secondes par machine, consommation minimale des ressources disques, sécurité robuste par jetons JWT et Rate Limiting, et expérience immersive au sein d'une interface web moderne.</w:t>
      </w:r>
    </w:p>
    <w:p>
      <w:pPr>
        <w:keepNext/>
        <w:spacing w:before="240" w:after="80"/>
      </w:pPr>
      <w:r>
        <w:rPr>
          <w:rFonts w:ascii="Calibri" w:hAnsi="Calibri"/>
          <w:b/>
          <w:color w:val="00897B"/>
          <w:sz w:val="26"/>
        </w:rPr>
        <w:t>7.2 Perspectives d'améliorations et évolutions futures</w:t>
      </w:r>
    </w:p>
    <w:p>
      <w:pPr>
        <w:spacing w:before="0" w:after="100" w:line="276" w:lineRule="auto"/>
      </w:pPr>
      <w:r>
        <w:rPr>
          <w:rFonts w:ascii="Calibri" w:hAnsi="Calibri"/>
          <w:color w:val="263238"/>
          <w:sz w:val="21"/>
        </w:rPr>
        <w:t>Plusieurs pistes d'enrichissement technique et fonctionnel peuvent être envisagées pour prolonger ce travail :</w:t>
      </w:r>
    </w:p>
    <w:p>
      <w:pPr>
        <w:pStyle w:val="ListBullet"/>
        <w:spacing w:before="0" w:after="60" w:line="276" w:lineRule="auto"/>
      </w:pPr>
      <w:r>
        <w:rPr>
          <w:rFonts w:ascii="Calibri" w:hAnsi="Calibri"/>
          <w:b/>
          <w:color w:val="263238"/>
          <w:sz w:val="21"/>
        </w:rPr>
        <w:t xml:space="preserve">Clustering Multi-Hôtes et Haute Disponibilité : </w:t>
      </w:r>
      <w:r>
        <w:rPr>
          <w:rFonts w:ascii="Calibri" w:hAnsi="Calibri"/>
          <w:color w:val="37474F"/>
          <w:sz w:val="21"/>
        </w:rPr>
        <w:t>Étendre l'orchestrateur pour piloter un pool de serveurs physiques hyperviseurs distribués avec équilibrage de charge dynamique basé sur la charge mémoire et CPU disponible.</w:t>
      </w:r>
    </w:p>
    <w:p>
      <w:pPr>
        <w:pStyle w:val="ListBullet"/>
        <w:spacing w:before="0" w:after="60" w:line="276" w:lineRule="auto"/>
      </w:pPr>
      <w:r>
        <w:rPr>
          <w:rFonts w:ascii="Calibri" w:hAnsi="Calibri"/>
          <w:b/>
          <w:color w:val="263238"/>
          <w:sz w:val="21"/>
        </w:rPr>
        <w:t xml:space="preserve">Support d'Hyperviseurs Bare-Metal (KVM / QEMU / Proxmox) : </w:t>
      </w:r>
      <w:r>
        <w:rPr>
          <w:rFonts w:ascii="Calibri" w:hAnsi="Calibri"/>
          <w:color w:val="37474F"/>
          <w:sz w:val="21"/>
        </w:rPr>
        <w:t>Généraliser l'interface abstraite de VMService afin d'interfacer indifféremment VirtualBox en local ou des hyperviseurs de production KVM/libvirt dans un datacenter.</w:t>
      </w:r>
    </w:p>
    <w:p>
      <w:pPr>
        <w:pStyle w:val="ListBullet"/>
        <w:spacing w:before="0" w:after="60" w:line="276" w:lineRule="auto"/>
      </w:pPr>
      <w:r>
        <w:rPr>
          <w:rFonts w:ascii="Calibri" w:hAnsi="Calibri"/>
          <w:b/>
          <w:color w:val="263238"/>
          <w:sz w:val="21"/>
        </w:rPr>
        <w:t xml:space="preserve">Provider Terraform Dédié : </w:t>
      </w:r>
      <w:r>
        <w:rPr>
          <w:rFonts w:ascii="Calibri" w:hAnsi="Calibri"/>
          <w:color w:val="37474F"/>
          <w:sz w:val="21"/>
        </w:rPr>
        <w:t>Développer un provider Terraform personnalisé permettant aux utilisateurs d'instancier leurs machines virtuelles selon les principes de l'Infrastructure-as-Code (IaC).</w:t>
      </w:r>
    </w:p>
    <w:p>
      <w:pPr>
        <w:pStyle w:val="ListBullet"/>
        <w:spacing w:before="0" w:after="60" w:line="276" w:lineRule="auto"/>
      </w:pPr>
      <w:r>
        <w:rPr>
          <w:rFonts w:ascii="Calibri" w:hAnsi="Calibri"/>
          <w:b/>
          <w:color w:val="263238"/>
          <w:sz w:val="21"/>
        </w:rPr>
        <w:t xml:space="preserve">Gestion Fine des Quotas et Facturation Virtuelle : </w:t>
      </w:r>
      <w:r>
        <w:rPr>
          <w:rFonts w:ascii="Calibri" w:hAnsi="Calibri"/>
          <w:color w:val="37474F"/>
          <w:sz w:val="21"/>
        </w:rPr>
        <w:t>Intégrer un module de contrôle budgétaire allouant un quota de crédits d'heures-machine par département ou groupe d'étudiants avec extinction automatique des machines inactives.</w:t>
      </w:r>
    </w:p>
    <w:p>
      <w:r>
        <w:br w:type="page"/>
      </w:r>
    </w:p>
    <w:p>
      <w:pPr>
        <w:keepNext/>
        <w:spacing w:before="320" w:after="120"/>
      </w:pPr>
      <w:r>
        <w:rPr>
          <w:rFonts w:ascii="Calibri" w:hAnsi="Calibri"/>
          <w:b/>
          <w:color w:val="0D47A1"/>
          <w:sz w:val="32"/>
        </w:rPr>
        <w:t>RÉFÉRENCES BIBLIOGRAPHIQUES &amp; SITOGRAPHIE</w:t>
      </w:r>
    </w:p>
    <w:p>
      <w:pPr>
        <w:spacing w:before="40" w:after="80" w:line="276" w:lineRule="auto"/>
      </w:pPr>
      <w:r>
        <w:rPr>
          <w:rFonts w:ascii="Calibri" w:hAnsi="Calibri"/>
          <w:color w:val="37474F"/>
          <w:sz w:val="19"/>
        </w:rPr>
        <w:t>[1] Oracle Corporation, « VirtualBox User Manual : Advanced VM Management and VBoxManage Command-Line Interface », Oracle Documentation, 2024. [En ligne] : https://docs.oracle.com/en/virtualization/virtualbox/</w:t>
      </w:r>
    </w:p>
    <w:p>
      <w:pPr>
        <w:spacing w:before="40" w:after="80" w:line="276" w:lineRule="auto"/>
      </w:pPr>
      <w:r>
        <w:rPr>
          <w:rFonts w:ascii="Calibri" w:hAnsi="Calibri"/>
          <w:color w:val="37474F"/>
          <w:sz w:val="19"/>
        </w:rPr>
        <w:t>[2] Canonical Ltd., « Cloud-Init Documentation and NoCloud Datasource Specifications », Cloud-Init Reference Guide, 2024. [En ligne] : https://cloudinit.readthedocs.io/</w:t>
      </w:r>
    </w:p>
    <w:p>
      <w:pPr>
        <w:spacing w:before="40" w:after="80" w:line="276" w:lineRule="auto"/>
      </w:pPr>
      <w:r>
        <w:rPr>
          <w:rFonts w:ascii="Calibri" w:hAnsi="Calibri"/>
          <w:color w:val="37474F"/>
          <w:sz w:val="19"/>
        </w:rPr>
        <w:t>[3] Apache Software Foundation, « Apache Guacamole Manual: Clientless Remote Desktop Architecture &amp; Encrypted JSON Authentication », Apache Guacamole Documentation, 2024. [En ligne] : https://guacamole.apache.org/doc/gug/</w:t>
      </w:r>
    </w:p>
    <w:p>
      <w:pPr>
        <w:spacing w:before="40" w:after="80" w:line="276" w:lineRule="auto"/>
      </w:pPr>
      <w:r>
        <w:rPr>
          <w:rFonts w:ascii="Calibri" w:hAnsi="Calibri"/>
          <w:color w:val="37474F"/>
          <w:sz w:val="19"/>
        </w:rPr>
        <w:t>[4] Tiangolo (Sebastián Ramírez), « FastAPI Framework: Modern, Fast (High-Performance) Web APIs with Python 3.8+ », FastAPI Documentation, 2024. [En ligne] : https://fastapi.tiangolo.com/</w:t>
      </w:r>
    </w:p>
    <w:p>
      <w:pPr>
        <w:spacing w:before="40" w:after="80" w:line="276" w:lineRule="auto"/>
      </w:pPr>
      <w:r>
        <w:rPr>
          <w:rFonts w:ascii="Calibri" w:hAnsi="Calibri"/>
          <w:color w:val="37474F"/>
          <w:sz w:val="19"/>
        </w:rPr>
        <w:t>[5] Meta Platforms &amp; React Community, « React 18: The Library for Web and Native User Interfaces », React Docs, 2024. [En ligne] : https://react.dev/</w:t>
      </w:r>
    </w:p>
    <w:p>
      <w:pPr>
        <w:spacing w:before="40" w:after="80" w:line="276" w:lineRule="auto"/>
      </w:pPr>
      <w:r>
        <w:rPr>
          <w:rFonts w:ascii="Calibri" w:hAnsi="Calibri"/>
          <w:color w:val="37474F"/>
          <w:sz w:val="19"/>
        </w:rPr>
        <w:t>[6] RFC 7519, « JSON Web Token (JWT) », Internet Engineering Task Force (IETF), Network Working Group, 2015. [En ligne] : https://datatracker.ietf.org/doc/html/rfc7519</w:t>
      </w:r>
    </w:p>
    <w:p>
      <w:pPr>
        <w:spacing w:before="40" w:after="80" w:line="276" w:lineRule="auto"/>
      </w:pPr>
      <w:r>
        <w:rPr>
          <w:rFonts w:ascii="Calibri" w:hAnsi="Calibri"/>
          <w:color w:val="37474F"/>
          <w:sz w:val="19"/>
        </w:rPr>
        <w:t>[7] RFC 8018, « PKCS #5: Password-Based Cryptography Specification Version 2.1 », IETF RFC Database, 2017.</w:t>
      </w:r>
    </w:p>
    <w:p>
      <w:pPr>
        <w:spacing w:before="40" w:after="80" w:line="276" w:lineRule="auto"/>
      </w:pPr>
      <w:r>
        <w:rPr>
          <w:rFonts w:ascii="Calibri" w:hAnsi="Calibri"/>
          <w:color w:val="37474F"/>
          <w:sz w:val="19"/>
        </w:rPr>
        <w:t>[8] Adam Fowler, « Mastering VirtualBox: Building Virtual Laboratories for Research and Development », Packt Publishing, 2022.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909C"/>
        <w:sz w:val="17"/>
      </w:rPr>
      <w:t>Plateforme Automatisée de Provisioning de Machines Virtuelles Multi-OS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Rapport de Projet de Fin d'Année (PFA) — Plateforme IaaS &amp; Cloud-Init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