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2CA" w:rsidRDefault="008148C4">
      <w:pPr>
        <w:spacing w:after="0" w:line="259" w:lineRule="auto"/>
        <w:ind w:left="22" w:firstLine="0"/>
      </w:pPr>
      <w:bookmarkStart w:id="0" w:name="_GoBack"/>
      <w:bookmarkEnd w:id="0"/>
      <w:r>
        <w:rPr>
          <w:sz w:val="40"/>
        </w:rPr>
        <w:t>GIOVANNI LEO FRISARI, PhD</w:t>
      </w:r>
      <w:r>
        <w:rPr>
          <w:b/>
          <w:sz w:val="40"/>
        </w:rPr>
        <w:t xml:space="preserve"> </w:t>
      </w:r>
    </w:p>
    <w:p w:rsidR="005942CA" w:rsidRDefault="008148C4">
      <w:pPr>
        <w:ind w:right="53"/>
      </w:pPr>
      <w:r>
        <w:t xml:space="preserve">Address: 2480 16th St. NW, Washington, D.C.  Tel.: +1 2024121549  Email: gl.frisari@gmail.com </w:t>
      </w:r>
    </w:p>
    <w:p w:rsidR="005942CA" w:rsidRDefault="008148C4">
      <w:pPr>
        <w:spacing w:after="39" w:line="259" w:lineRule="auto"/>
        <w:ind w:left="22" w:firstLine="0"/>
      </w:pPr>
      <w:r>
        <w:t xml:space="preserve"> </w:t>
      </w:r>
    </w:p>
    <w:p w:rsidR="005942CA" w:rsidRDefault="008148C4">
      <w:pPr>
        <w:pStyle w:val="Heading1"/>
        <w:spacing w:after="73"/>
        <w:ind w:left="1063" w:right="1134"/>
      </w:pPr>
      <w:r>
        <w:t>Summary</w:t>
      </w:r>
      <w:r>
        <w:rPr>
          <w:b w:val="0"/>
        </w:rPr>
        <w:t xml:space="preserve"> </w:t>
      </w:r>
    </w:p>
    <w:p w:rsidR="005942CA" w:rsidRDefault="008148C4">
      <w:pPr>
        <w:numPr>
          <w:ilvl w:val="0"/>
          <w:numId w:val="1"/>
        </w:numPr>
        <w:spacing w:after="49"/>
        <w:ind w:right="53" w:hanging="142"/>
      </w:pPr>
      <w:r>
        <w:t xml:space="preserve">PhD in Science and Management of Climate Change </w:t>
      </w:r>
    </w:p>
    <w:p w:rsidR="005942CA" w:rsidRDefault="008148C4">
      <w:pPr>
        <w:numPr>
          <w:ilvl w:val="0"/>
          <w:numId w:val="1"/>
        </w:numPr>
        <w:spacing w:after="49"/>
        <w:ind w:right="53" w:hanging="142"/>
      </w:pPr>
      <w:r>
        <w:t xml:space="preserve">International climate finance, economic and financial modeling of climate smart investments </w:t>
      </w:r>
    </w:p>
    <w:p w:rsidR="005942CA" w:rsidRDefault="008148C4">
      <w:pPr>
        <w:numPr>
          <w:ilvl w:val="0"/>
          <w:numId w:val="1"/>
        </w:numPr>
        <w:spacing w:after="35"/>
        <w:ind w:right="53" w:hanging="142"/>
      </w:pPr>
      <w:r>
        <w:t xml:space="preserve">Risk allocation models between public and private sector entities </w:t>
      </w:r>
    </w:p>
    <w:p w:rsidR="005942CA" w:rsidRDefault="008148C4">
      <w:pPr>
        <w:spacing w:after="0" w:line="259" w:lineRule="auto"/>
        <w:ind w:left="22" w:firstLine="0"/>
      </w:pPr>
      <w:r>
        <w:rPr>
          <w:sz w:val="20"/>
        </w:rPr>
        <w:t xml:space="preserve"> </w:t>
      </w:r>
    </w:p>
    <w:p w:rsidR="005942CA" w:rsidRDefault="008148C4">
      <w:pPr>
        <w:pStyle w:val="Heading1"/>
        <w:ind w:left="1063" w:right="1134"/>
      </w:pPr>
      <w:r>
        <w:t xml:space="preserve">Professional Experience </w:t>
      </w:r>
    </w:p>
    <w:p w:rsidR="005942CA" w:rsidRDefault="008148C4">
      <w:pPr>
        <w:spacing w:after="0" w:line="259" w:lineRule="auto"/>
        <w:ind w:left="22" w:firstLine="0"/>
      </w:pPr>
      <w:r>
        <w:rPr>
          <w:sz w:val="20"/>
        </w:rPr>
        <w:t xml:space="preserve"> </w:t>
      </w:r>
    </w:p>
    <w:p w:rsidR="005942CA" w:rsidRDefault="008148C4">
      <w:pPr>
        <w:tabs>
          <w:tab w:val="center" w:pos="3622"/>
          <w:tab w:val="center" w:pos="4342"/>
          <w:tab w:val="center" w:pos="5062"/>
          <w:tab w:val="center" w:pos="5782"/>
          <w:tab w:val="center" w:pos="6502"/>
          <w:tab w:val="center" w:pos="8182"/>
        </w:tabs>
        <w:spacing w:after="3" w:line="259" w:lineRule="auto"/>
        <w:ind w:left="0" w:firstLine="0"/>
      </w:pPr>
      <w:r>
        <w:rPr>
          <w:b/>
        </w:rPr>
        <w:t xml:space="preserve">Climate Finance Consultant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Aug 2015 – Current </w:t>
      </w:r>
    </w:p>
    <w:p w:rsidR="005942CA" w:rsidRDefault="008148C4">
      <w:pPr>
        <w:spacing w:after="3" w:line="259" w:lineRule="auto"/>
        <w:ind w:left="17"/>
      </w:pPr>
      <w:r>
        <w:rPr>
          <w:b/>
        </w:rPr>
        <w:t>Inter-Am</w:t>
      </w:r>
      <w:r>
        <w:rPr>
          <w:b/>
        </w:rPr>
        <w:t>erican Investment Corporation (IDB Group)</w:t>
      </w:r>
      <w:r>
        <w:t xml:space="preserve">, Blended Finance and Advisory Services </w:t>
      </w:r>
    </w:p>
    <w:p w:rsidR="005942CA" w:rsidRDefault="008148C4">
      <w:pPr>
        <w:spacing w:after="126"/>
        <w:ind w:left="17" w:right="53"/>
      </w:pPr>
      <w:r>
        <w:t xml:space="preserve">1300 New York Ave NW, Washington D.C., USA </w:t>
      </w:r>
    </w:p>
    <w:p w:rsidR="005942CA" w:rsidRDefault="008148C4">
      <w:pPr>
        <w:numPr>
          <w:ilvl w:val="0"/>
          <w:numId w:val="2"/>
        </w:numPr>
        <w:ind w:right="53" w:hanging="142"/>
      </w:pPr>
      <w:r>
        <w:rPr>
          <w:b/>
        </w:rPr>
        <w:t>Design, development and financial structuring of private sector investment opportunities,</w:t>
      </w:r>
      <w:r>
        <w:t xml:space="preserve"> </w:t>
      </w:r>
      <w:r>
        <w:t xml:space="preserve">utilizing concessional climate finance to enhance effectiveness of support and guarantee additionality and need for minimum concessionality </w:t>
      </w:r>
    </w:p>
    <w:p w:rsidR="005942CA" w:rsidRDefault="008148C4">
      <w:pPr>
        <w:numPr>
          <w:ilvl w:val="0"/>
          <w:numId w:val="2"/>
        </w:numPr>
        <w:ind w:right="53" w:hanging="142"/>
      </w:pPr>
      <w:r>
        <w:rPr>
          <w:b/>
        </w:rPr>
        <w:t xml:space="preserve">Origination of climate related projects </w:t>
      </w:r>
      <w:r>
        <w:t>in the agriculture, forestry, infrastructure and financial intermediaries s</w:t>
      </w:r>
      <w:r>
        <w:t xml:space="preserve">ectors. Assessment of eligibility of concessionality and calibration of concessional support in collaboration with IIC investment officers. </w:t>
      </w:r>
    </w:p>
    <w:p w:rsidR="005942CA" w:rsidRDefault="008148C4">
      <w:pPr>
        <w:numPr>
          <w:ilvl w:val="0"/>
          <w:numId w:val="2"/>
        </w:numPr>
        <w:ind w:right="53" w:hanging="142"/>
      </w:pPr>
      <w:r>
        <w:rPr>
          <w:b/>
        </w:rPr>
        <w:t>Guidance to investment officers on types of concessional climate finance available</w:t>
      </w:r>
      <w:r>
        <w:t>, eligibility criteria and disbur</w:t>
      </w:r>
      <w:r>
        <w:t xml:space="preserve">sement modalities from international climate funds such as the Climate Investment Funds. </w:t>
      </w:r>
    </w:p>
    <w:p w:rsidR="005942CA" w:rsidRDefault="008148C4">
      <w:pPr>
        <w:numPr>
          <w:ilvl w:val="0"/>
          <w:numId w:val="2"/>
        </w:numPr>
        <w:ind w:right="53" w:hanging="142"/>
      </w:pPr>
      <w:r>
        <w:rPr>
          <w:b/>
        </w:rPr>
        <w:t xml:space="preserve">Production of knowledge and strategy material. </w:t>
      </w:r>
      <w:r>
        <w:t>Contributed to the preparation of the Resolution for the Climate Finance Goal at the IDB and IIC, and currently leading</w:t>
      </w:r>
      <w:r>
        <w:t xml:space="preserve"> the preparation of a concept note of IIC Blended Finance strategy and process. Regular contribution for IIC to the strategy and planning of the Climate Investment Funds</w:t>
      </w:r>
      <w:r>
        <w:rPr>
          <w:b/>
        </w:rPr>
        <w:t xml:space="preserve"> </w:t>
      </w:r>
    </w:p>
    <w:p w:rsidR="005942CA" w:rsidRDefault="008148C4">
      <w:pPr>
        <w:numPr>
          <w:ilvl w:val="0"/>
          <w:numId w:val="2"/>
        </w:numPr>
        <w:ind w:right="53" w:hanging="142"/>
      </w:pPr>
      <w:r>
        <w:rPr>
          <w:b/>
        </w:rPr>
        <w:t xml:space="preserve">Monitoring of projects approved </w:t>
      </w:r>
      <w:r>
        <w:t>and facilitation of reporting from private sector ope</w:t>
      </w:r>
      <w:r>
        <w:t>rations to the administrative unit of the Climate Investment Funds.</w:t>
      </w:r>
      <w:r>
        <w:rPr>
          <w:b/>
        </w:rPr>
        <w:t xml:space="preserve"> </w:t>
      </w:r>
    </w:p>
    <w:p w:rsidR="005942CA" w:rsidRDefault="008148C4">
      <w:pPr>
        <w:spacing w:after="0" w:line="259" w:lineRule="auto"/>
        <w:ind w:left="22" w:firstLine="0"/>
      </w:pPr>
      <w:r>
        <w:rPr>
          <w:b/>
        </w:rPr>
        <w:t xml:space="preserve">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tabs>
          <w:tab w:val="center" w:pos="2182"/>
          <w:tab w:val="center" w:pos="2902"/>
          <w:tab w:val="center" w:pos="3622"/>
          <w:tab w:val="center" w:pos="4342"/>
          <w:tab w:val="center" w:pos="5062"/>
          <w:tab w:val="center" w:pos="5782"/>
          <w:tab w:val="center" w:pos="6502"/>
          <w:tab w:val="center" w:pos="8230"/>
        </w:tabs>
        <w:ind w:left="0" w:firstLine="0"/>
      </w:pPr>
      <w:r>
        <w:rPr>
          <w:b/>
        </w:rPr>
        <w:t>Senior Analyst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Sep 2011 – Jul 2015 </w:t>
      </w:r>
    </w:p>
    <w:p w:rsidR="005942CA" w:rsidRDefault="008148C4">
      <w:pPr>
        <w:spacing w:after="3" w:line="259" w:lineRule="auto"/>
        <w:ind w:left="17"/>
      </w:pPr>
      <w:r>
        <w:rPr>
          <w:b/>
        </w:rPr>
        <w:t xml:space="preserve">Climate Policy Initiative (CPI) </w:t>
      </w:r>
    </w:p>
    <w:p w:rsidR="005942CA" w:rsidRDefault="008148C4">
      <w:pPr>
        <w:spacing w:after="126"/>
        <w:ind w:left="17" w:right="53"/>
      </w:pPr>
      <w:r>
        <w:t xml:space="preserve">Isola di San Giorgio Maggiore 8, 30124 Venice, Italy </w:t>
      </w:r>
    </w:p>
    <w:p w:rsidR="005942CA" w:rsidRDefault="008148C4">
      <w:pPr>
        <w:numPr>
          <w:ilvl w:val="0"/>
          <w:numId w:val="2"/>
        </w:numPr>
        <w:ind w:right="53" w:hanging="142"/>
      </w:pPr>
      <w:r>
        <w:rPr>
          <w:b/>
        </w:rPr>
        <w:t>Effectiveness of climate policies and instru</w:t>
      </w:r>
      <w:r>
        <w:rPr>
          <w:b/>
        </w:rPr>
        <w:t>ments for the mobilization of private capital:</w:t>
      </w:r>
      <w:r>
        <w:t xml:space="preserve"> Developed a financial model framework for the analysis of the effectiveness of incentives, policies and de-risking support aimed to mobilize private investments for climate change mitigation and adaptation pro</w:t>
      </w:r>
      <w:r>
        <w:t>jects.</w:t>
      </w:r>
      <w:r>
        <w:rPr>
          <w:i/>
        </w:rPr>
        <w:t xml:space="preserve"> </w:t>
      </w:r>
    </w:p>
    <w:p w:rsidR="005942CA" w:rsidRDefault="008148C4">
      <w:pPr>
        <w:numPr>
          <w:ilvl w:val="0"/>
          <w:numId w:val="2"/>
        </w:numPr>
        <w:ind w:right="53" w:hanging="142"/>
      </w:pPr>
      <w:r>
        <w:rPr>
          <w:b/>
        </w:rPr>
        <w:t>Clean Energy Finance: Project Finance models for renewable energy projects in emerging markets</w:t>
      </w:r>
      <w:r>
        <w:t>. Performed a detailed financial analysis for the assessment of the risk allocation model between private and public investors in the financing of the “Ou</w:t>
      </w:r>
      <w:r>
        <w:t>arzazate I” Concentrated Solar Plant in Morocco with a public-private partnership, and the Rajasthan SunTechniche CSP plant in India, developed with an independent power producer model</w:t>
      </w:r>
      <w:r>
        <w:rPr>
          <w:i/>
        </w:rPr>
        <w:t xml:space="preserve">. </w:t>
      </w:r>
    </w:p>
    <w:p w:rsidR="005942CA" w:rsidRDefault="008148C4">
      <w:pPr>
        <w:numPr>
          <w:ilvl w:val="0"/>
          <w:numId w:val="2"/>
        </w:numPr>
        <w:ind w:right="53" w:hanging="142"/>
      </w:pPr>
      <w:r>
        <w:rPr>
          <w:b/>
        </w:rPr>
        <w:t>Risk Gaps: Risk mitigation instruments in green infrastructure invest</w:t>
      </w:r>
      <w:r>
        <w:rPr>
          <w:b/>
        </w:rPr>
        <w:t>ments</w:t>
      </w:r>
      <w:r>
        <w:t>. Led the research program on current demand and supply of risk mitigation instruments for green infrastructure investments and authored one case study on the financial structure of a hydropower project in a high-risk country “The Bujagali 250 MW Hydr</w:t>
      </w:r>
      <w:r>
        <w:t xml:space="preserve">opower project, Uganda” – the first large scale renewable energy project to use guarantees issued by a development finance institution. </w:t>
      </w:r>
    </w:p>
    <w:p w:rsidR="005942CA" w:rsidRDefault="008148C4">
      <w:pPr>
        <w:numPr>
          <w:ilvl w:val="0"/>
          <w:numId w:val="2"/>
        </w:numPr>
        <w:ind w:right="53" w:hanging="142"/>
      </w:pPr>
      <w:r>
        <w:rPr>
          <w:b/>
        </w:rPr>
        <w:t xml:space="preserve">Global Innovation Lab for Climate Finance: </w:t>
      </w:r>
      <w:r>
        <w:t>Co-Lead analyst on methodological approach for the selection, development an</w:t>
      </w:r>
      <w:r>
        <w:t>d support to implementation of innovative climate finance instruments aimed at mobilized private capital at scale towards adaptation and mitigation investments.</w:t>
      </w:r>
      <w:r>
        <w:rPr>
          <w:b/>
        </w:rPr>
        <w:t xml:space="preserve"> </w:t>
      </w:r>
    </w:p>
    <w:p w:rsidR="005942CA" w:rsidRDefault="008148C4">
      <w:pPr>
        <w:numPr>
          <w:ilvl w:val="0"/>
          <w:numId w:val="2"/>
        </w:numPr>
        <w:ind w:right="53" w:hanging="142"/>
      </w:pPr>
      <w:r>
        <w:rPr>
          <w:b/>
        </w:rPr>
        <w:t xml:space="preserve">Sustainable Palm Oil: </w:t>
      </w:r>
      <w:r>
        <w:t>active role in CPI efforts to develop a new innovative financing model t</w:t>
      </w:r>
      <w:r>
        <w:t xml:space="preserve">o support a more sustainable palm oil supply chain in Indonesia that fights illegal deforestation </w:t>
      </w:r>
      <w:r>
        <w:lastRenderedPageBreak/>
        <w:t>and promotes product traceability and certification, through supporting small holder farmers productivity and livelihood.</w:t>
      </w:r>
      <w:r>
        <w:rPr>
          <w:b/>
        </w:rPr>
        <w:t xml:space="preserve"> </w:t>
      </w:r>
    </w:p>
    <w:p w:rsidR="005942CA" w:rsidRDefault="008148C4">
      <w:pPr>
        <w:spacing w:after="0" w:line="259" w:lineRule="auto"/>
        <w:ind w:left="22" w:firstLine="0"/>
      </w:pPr>
      <w:r>
        <w:rPr>
          <w:b/>
        </w:rPr>
        <w:t xml:space="preserve"> </w:t>
      </w:r>
    </w:p>
    <w:p w:rsidR="005942CA" w:rsidRDefault="008148C4">
      <w:pPr>
        <w:spacing w:after="0" w:line="259" w:lineRule="auto"/>
        <w:ind w:left="22" w:firstLine="0"/>
      </w:pPr>
      <w:r>
        <w:rPr>
          <w:b/>
        </w:rPr>
        <w:t xml:space="preserve"> </w:t>
      </w:r>
    </w:p>
    <w:p w:rsidR="005942CA" w:rsidRDefault="008148C4">
      <w:pPr>
        <w:tabs>
          <w:tab w:val="center" w:pos="2902"/>
          <w:tab w:val="center" w:pos="3622"/>
          <w:tab w:val="center" w:pos="4342"/>
          <w:tab w:val="center" w:pos="5062"/>
          <w:tab w:val="center" w:pos="5782"/>
          <w:tab w:val="center" w:pos="6502"/>
          <w:tab w:val="center" w:pos="8297"/>
        </w:tabs>
        <w:spacing w:after="3" w:line="259" w:lineRule="auto"/>
        <w:ind w:left="0" w:firstLine="0"/>
      </w:pPr>
      <w:r>
        <w:rPr>
          <w:b/>
        </w:rPr>
        <w:t>Visiting Researcher</w:t>
      </w:r>
      <w:r>
        <w:rPr>
          <w:b/>
        </w:rPr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May 2013 – Sep 2013 </w:t>
      </w:r>
    </w:p>
    <w:p w:rsidR="005942CA" w:rsidRDefault="008148C4">
      <w:pPr>
        <w:ind w:left="17" w:right="53"/>
      </w:pPr>
      <w:r>
        <w:rPr>
          <w:b/>
        </w:rPr>
        <w:t>World Bank Group</w:t>
      </w:r>
      <w:r>
        <w:t xml:space="preserve">, Climate Policy and Finance Department </w:t>
      </w:r>
    </w:p>
    <w:p w:rsidR="005942CA" w:rsidRDefault="008148C4">
      <w:pPr>
        <w:spacing w:after="126"/>
        <w:ind w:left="17" w:right="53"/>
      </w:pPr>
      <w:r>
        <w:t xml:space="preserve">1818 H St., NW, Washington D.C.,USA </w:t>
      </w:r>
    </w:p>
    <w:p w:rsidR="005942CA" w:rsidRDefault="008148C4">
      <w:pPr>
        <w:numPr>
          <w:ilvl w:val="0"/>
          <w:numId w:val="3"/>
        </w:numPr>
        <w:ind w:right="53" w:hanging="142"/>
      </w:pPr>
      <w:r>
        <w:t>Analysis of the implementation of risk mitigation instruments by the World Bank Group in the case of the Bujagali 250 MW Hydro</w:t>
      </w:r>
      <w:r>
        <w:t xml:space="preserve">power Plant, Uganda </w:t>
      </w:r>
    </w:p>
    <w:p w:rsidR="005942CA" w:rsidRDefault="008148C4">
      <w:pPr>
        <w:numPr>
          <w:ilvl w:val="0"/>
          <w:numId w:val="3"/>
        </w:numPr>
        <w:ind w:right="53" w:hanging="142"/>
      </w:pPr>
      <w:r>
        <w:t xml:space="preserve">Analysis of the portfolio of risk mitigation instruments dedicated to low emission investments and climate change projects.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tabs>
          <w:tab w:val="center" w:pos="4342"/>
          <w:tab w:val="center" w:pos="5062"/>
          <w:tab w:val="center" w:pos="5782"/>
          <w:tab w:val="center" w:pos="6502"/>
          <w:tab w:val="center" w:pos="8273"/>
        </w:tabs>
        <w:spacing w:after="3" w:line="259" w:lineRule="auto"/>
        <w:ind w:left="0" w:firstLine="0"/>
      </w:pPr>
      <w:r>
        <w:rPr>
          <w:b/>
        </w:rPr>
        <w:t>Advisor, Finance Desk Property</w:t>
      </w: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May 2011 – Apr 2012 </w:t>
      </w:r>
    </w:p>
    <w:p w:rsidR="005942CA" w:rsidRDefault="008148C4">
      <w:pPr>
        <w:spacing w:after="3" w:line="259" w:lineRule="auto"/>
        <w:ind w:left="17"/>
      </w:pPr>
      <w:r>
        <w:rPr>
          <w:b/>
        </w:rPr>
        <w:t>Credito Trevigiano Banca</w:t>
      </w:r>
      <w:r>
        <w:t xml:space="preserve"> </w:t>
      </w:r>
    </w:p>
    <w:p w:rsidR="005942CA" w:rsidRDefault="008148C4">
      <w:pPr>
        <w:spacing w:after="126"/>
        <w:ind w:left="17" w:right="53"/>
      </w:pPr>
      <w:r>
        <w:t>Via Stazione 3, V</w:t>
      </w:r>
      <w:r>
        <w:t xml:space="preserve">illa Emo, Fanzolo (TV), Italy </w:t>
      </w:r>
    </w:p>
    <w:p w:rsidR="005942CA" w:rsidRDefault="008148C4">
      <w:pPr>
        <w:numPr>
          <w:ilvl w:val="0"/>
          <w:numId w:val="3"/>
        </w:numPr>
        <w:ind w:right="53" w:hanging="142"/>
      </w:pPr>
      <w:r>
        <w:t xml:space="preserve">Advisor to Bank’s proprietary investments in Securities, Funds and Private Equity </w:t>
      </w:r>
    </w:p>
    <w:p w:rsidR="005942CA" w:rsidRDefault="008148C4">
      <w:pPr>
        <w:numPr>
          <w:ilvl w:val="0"/>
          <w:numId w:val="3"/>
        </w:numPr>
        <w:ind w:right="53" w:hanging="142"/>
      </w:pPr>
      <w:r>
        <w:t xml:space="preserve">Re-drafted the Desk Finance Process and Procedures Manual, the operational limits and the in-house control and risk systems </w:t>
      </w:r>
    </w:p>
    <w:p w:rsidR="005942CA" w:rsidRDefault="008148C4">
      <w:pPr>
        <w:numPr>
          <w:ilvl w:val="0"/>
          <w:numId w:val="3"/>
        </w:numPr>
        <w:ind w:right="53" w:hanging="142"/>
      </w:pPr>
      <w:r>
        <w:t>Close collaborati</w:t>
      </w:r>
      <w:r>
        <w:t xml:space="preserve">on with Risk Management Unit for the implementation of the new Risk </w:t>
      </w:r>
    </w:p>
    <w:p w:rsidR="005942CA" w:rsidRDefault="008148C4">
      <w:pPr>
        <w:ind w:left="458" w:right="53"/>
      </w:pPr>
      <w:r>
        <w:t xml:space="preserve">Management system and Asset Liability Management  </w:t>
      </w:r>
    </w:p>
    <w:p w:rsidR="005942CA" w:rsidRDefault="008148C4">
      <w:pPr>
        <w:spacing w:after="0" w:line="259" w:lineRule="auto"/>
        <w:ind w:left="22" w:firstLine="0"/>
      </w:pPr>
      <w:r>
        <w:rPr>
          <w:b/>
        </w:rPr>
        <w:t xml:space="preserve"> </w:t>
      </w:r>
    </w:p>
    <w:p w:rsidR="005942CA" w:rsidRDefault="008148C4">
      <w:pPr>
        <w:spacing w:after="0" w:line="259" w:lineRule="auto"/>
        <w:ind w:left="22" w:firstLine="0"/>
      </w:pPr>
      <w:r>
        <w:rPr>
          <w:b/>
        </w:rPr>
        <w:t xml:space="preserve"> </w:t>
      </w:r>
    </w:p>
    <w:p w:rsidR="005942CA" w:rsidRDefault="008148C4">
      <w:pPr>
        <w:tabs>
          <w:tab w:val="center" w:pos="2902"/>
          <w:tab w:val="center" w:pos="3622"/>
          <w:tab w:val="center" w:pos="4342"/>
          <w:tab w:val="center" w:pos="5062"/>
          <w:tab w:val="center" w:pos="5782"/>
          <w:tab w:val="center" w:pos="6502"/>
          <w:tab w:val="center" w:pos="8267"/>
        </w:tabs>
        <w:ind w:left="0" w:firstLine="0"/>
      </w:pPr>
      <w:r>
        <w:rPr>
          <w:b/>
        </w:rPr>
        <w:t xml:space="preserve">Portfolio Manager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Jan 2010 – Sep 2010 </w:t>
      </w:r>
    </w:p>
    <w:p w:rsidR="005942CA" w:rsidRDefault="008148C4">
      <w:pPr>
        <w:spacing w:after="3" w:line="259" w:lineRule="auto"/>
        <w:ind w:left="17"/>
      </w:pPr>
      <w:r>
        <w:rPr>
          <w:b/>
        </w:rPr>
        <w:t>Key Asset Management - SEB Group</w:t>
      </w:r>
      <w:r>
        <w:t xml:space="preserve"> </w:t>
      </w:r>
    </w:p>
    <w:p w:rsidR="005942CA" w:rsidRDefault="008148C4">
      <w:pPr>
        <w:spacing w:after="126"/>
        <w:ind w:left="17" w:right="53"/>
      </w:pPr>
      <w:r>
        <w:t xml:space="preserve">Scandinavian House, London, UK </w:t>
      </w:r>
    </w:p>
    <w:p w:rsidR="005942CA" w:rsidRDefault="008148C4">
      <w:pPr>
        <w:numPr>
          <w:ilvl w:val="0"/>
          <w:numId w:val="3"/>
        </w:numPr>
        <w:ind w:right="53" w:hanging="142"/>
      </w:pPr>
      <w:r>
        <w:t xml:space="preserve">Manager of portfolios ($200mil assets) of hedge funds investments focused on equity and debt instruments of companies in financial difficulties or undergoing structural changes. </w:t>
      </w:r>
    </w:p>
    <w:p w:rsidR="005942CA" w:rsidRDefault="008148C4">
      <w:pPr>
        <w:ind w:left="458" w:right="53"/>
      </w:pPr>
      <w:r>
        <w:t>Responsible for trading and investment decisions of the fund and communicatio</w:t>
      </w:r>
      <w:r>
        <w:t xml:space="preserve">n with clients and investors </w:t>
      </w:r>
    </w:p>
    <w:p w:rsidR="005942CA" w:rsidRDefault="008148C4">
      <w:pPr>
        <w:numPr>
          <w:ilvl w:val="0"/>
          <w:numId w:val="3"/>
        </w:numPr>
        <w:ind w:right="53" w:hanging="142"/>
      </w:pPr>
      <w:r>
        <w:t xml:space="preserve">Senior Investment Analyst for a wide range of strategies and markets such as: sovereign debt, equity indexes, natural resources and derivatives (Global Macro, Natural Resources Trading, Relative Value Trading).  </w:t>
      </w:r>
    </w:p>
    <w:p w:rsidR="005942CA" w:rsidRDefault="008148C4">
      <w:pPr>
        <w:numPr>
          <w:ilvl w:val="0"/>
          <w:numId w:val="3"/>
        </w:numPr>
        <w:ind w:right="53" w:hanging="142"/>
      </w:pPr>
      <w:r>
        <w:t>Responsible f</w:t>
      </w:r>
      <w:r>
        <w:t xml:space="preserve">or the selection of potential investments and Member of the Investment Committee. </w:t>
      </w:r>
    </w:p>
    <w:p w:rsidR="005942CA" w:rsidRDefault="008148C4">
      <w:pPr>
        <w:spacing w:after="0" w:line="259" w:lineRule="auto"/>
        <w:ind w:left="22" w:firstLine="0"/>
      </w:pPr>
      <w:r>
        <w:rPr>
          <w:b/>
        </w:rPr>
        <w:t xml:space="preserve"> </w:t>
      </w:r>
    </w:p>
    <w:p w:rsidR="005942CA" w:rsidRDefault="008148C4">
      <w:pPr>
        <w:spacing w:after="0" w:line="259" w:lineRule="auto"/>
        <w:ind w:left="22" w:firstLine="0"/>
      </w:pPr>
      <w:r>
        <w:rPr>
          <w:b/>
        </w:rPr>
        <w:t xml:space="preserve"> </w:t>
      </w:r>
    </w:p>
    <w:p w:rsidR="005942CA" w:rsidRDefault="008148C4">
      <w:pPr>
        <w:tabs>
          <w:tab w:val="center" w:pos="6502"/>
          <w:tab w:val="center" w:pos="8285"/>
        </w:tabs>
        <w:spacing w:after="3" w:line="259" w:lineRule="auto"/>
        <w:ind w:left="0" w:firstLine="0"/>
      </w:pPr>
      <w:r>
        <w:rPr>
          <w:b/>
        </w:rPr>
        <w:t xml:space="preserve">Head of European Fund Research and Due Diligence  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Nov 2003 – Dec 2009 </w:t>
      </w:r>
    </w:p>
    <w:p w:rsidR="005942CA" w:rsidRDefault="008148C4">
      <w:pPr>
        <w:spacing w:after="3" w:line="259" w:lineRule="auto"/>
        <w:ind w:left="17"/>
      </w:pPr>
      <w:r>
        <w:rPr>
          <w:b/>
        </w:rPr>
        <w:t>Rasini &amp; C. Fund of Hedge Funds</w:t>
      </w:r>
      <w:r>
        <w:t xml:space="preserve"> </w:t>
      </w:r>
    </w:p>
    <w:p w:rsidR="005942CA" w:rsidRDefault="008148C4">
      <w:pPr>
        <w:spacing w:after="131"/>
        <w:ind w:left="17" w:right="53"/>
      </w:pPr>
      <w:r>
        <w:t xml:space="preserve">Duke Street St James’, London, UK </w:t>
      </w:r>
    </w:p>
    <w:p w:rsidR="005942CA" w:rsidRDefault="008148C4">
      <w:pPr>
        <w:numPr>
          <w:ilvl w:val="0"/>
          <w:numId w:val="3"/>
        </w:numPr>
        <w:ind w:right="53" w:hanging="142"/>
      </w:pPr>
      <w:r>
        <w:t>Responsible for fund resea</w:t>
      </w:r>
      <w:r>
        <w:t xml:space="preserve">rch and due-diligence in European markets with a very wide mandate, leading a team of 2 investment analysts overseeing up to 60% of the firm's portfolio </w:t>
      </w:r>
    </w:p>
    <w:p w:rsidR="005942CA" w:rsidRDefault="008148C4">
      <w:pPr>
        <w:numPr>
          <w:ilvl w:val="0"/>
          <w:numId w:val="3"/>
        </w:numPr>
        <w:ind w:right="53" w:hanging="142"/>
      </w:pPr>
      <w:r>
        <w:t xml:space="preserve">Initiated research and investments in natural resources funds (Energy, Metals and Agricultural) </w:t>
      </w:r>
    </w:p>
    <w:p w:rsidR="005942CA" w:rsidRDefault="008148C4">
      <w:pPr>
        <w:numPr>
          <w:ilvl w:val="0"/>
          <w:numId w:val="3"/>
        </w:numPr>
        <w:ind w:right="53" w:hanging="142"/>
      </w:pPr>
      <w:r>
        <w:t>Sourc</w:t>
      </w:r>
      <w:r>
        <w:t xml:space="preserve">ing, due-diligence and monitoring of hedge funds on a global basis  </w:t>
      </w:r>
    </w:p>
    <w:p w:rsidR="005942CA" w:rsidRDefault="008148C4">
      <w:pPr>
        <w:numPr>
          <w:ilvl w:val="0"/>
          <w:numId w:val="3"/>
        </w:numPr>
        <w:ind w:right="53" w:hanging="142"/>
      </w:pPr>
      <w:r>
        <w:t xml:space="preserve">Member of the Investment Committee  </w:t>
      </w:r>
    </w:p>
    <w:p w:rsidR="005942CA" w:rsidRDefault="008148C4">
      <w:pPr>
        <w:numPr>
          <w:ilvl w:val="0"/>
          <w:numId w:val="3"/>
        </w:numPr>
        <w:ind w:right="53" w:hanging="142"/>
      </w:pPr>
      <w:r>
        <w:t>Developed with the Risk Manager and IT Manager the firm’s risk management platform, the in</w:t>
      </w:r>
      <w:r>
        <w:t xml:space="preserve">house qualitative information platform and the quantitative research software.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pStyle w:val="Heading1"/>
        <w:ind w:left="1063" w:right="0"/>
      </w:pPr>
      <w:r>
        <w:t xml:space="preserve">Education </w:t>
      </w:r>
    </w:p>
    <w:p w:rsidR="005942CA" w:rsidRDefault="008148C4">
      <w:pPr>
        <w:spacing w:after="0" w:line="259" w:lineRule="auto"/>
        <w:ind w:left="22" w:firstLine="0"/>
      </w:pPr>
      <w:r>
        <w:rPr>
          <w:sz w:val="20"/>
        </w:rPr>
        <w:t xml:space="preserve"> </w:t>
      </w:r>
    </w:p>
    <w:p w:rsidR="005942CA" w:rsidRDefault="008148C4">
      <w:pPr>
        <w:tabs>
          <w:tab w:val="center" w:pos="6502"/>
          <w:tab w:val="center" w:pos="8267"/>
        </w:tabs>
        <w:spacing w:after="3" w:line="259" w:lineRule="auto"/>
        <w:ind w:left="0" w:firstLine="0"/>
      </w:pPr>
      <w:r>
        <w:rPr>
          <w:b/>
        </w:rPr>
        <w:t xml:space="preserve">PhD in Science and Management of Climate Change  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Sep 2011 – Jan 2015 </w:t>
      </w:r>
    </w:p>
    <w:p w:rsidR="005942CA" w:rsidRDefault="008148C4">
      <w:pPr>
        <w:spacing w:after="3" w:line="259" w:lineRule="auto"/>
        <w:ind w:left="17"/>
      </w:pPr>
      <w:r>
        <w:rPr>
          <w:b/>
        </w:rPr>
        <w:t>University Ca' Foscari</w:t>
      </w:r>
      <w:r>
        <w:t xml:space="preserve">, Venice, Italy </w:t>
      </w:r>
    </w:p>
    <w:p w:rsidR="005942CA" w:rsidRDefault="008148C4">
      <w:pPr>
        <w:spacing w:after="10"/>
        <w:ind w:left="174"/>
      </w:pPr>
      <w:r>
        <w:t xml:space="preserve">Thesis: </w:t>
      </w:r>
      <w:r>
        <w:rPr>
          <w:i/>
        </w:rPr>
        <w:t>Mobilizing private sector capital for low-emission investments. A risk allocation framework</w:t>
      </w:r>
      <w:r>
        <w:t xml:space="preserve"> </w:t>
      </w:r>
    </w:p>
    <w:p w:rsidR="005942CA" w:rsidRDefault="008148C4">
      <w:pPr>
        <w:ind w:left="174" w:right="53"/>
      </w:pPr>
      <w:r>
        <w:lastRenderedPageBreak/>
        <w:t xml:space="preserve">Supervisors: Barbara Buchner, Tom Heller </w:t>
      </w:r>
    </w:p>
    <w:p w:rsidR="005942CA" w:rsidRDefault="008148C4">
      <w:pPr>
        <w:ind w:left="174" w:right="53"/>
      </w:pPr>
      <w:r>
        <w:t xml:space="preserve">Climate Change Finance for mitigation and adaptation investments, Climate Change Risk </w:t>
      </w:r>
    </w:p>
    <w:p w:rsidR="005942CA" w:rsidRDefault="008148C4">
      <w:pPr>
        <w:ind w:left="174" w:right="53"/>
      </w:pPr>
      <w:r>
        <w:t>Management, Climate Change Scienti</w:t>
      </w:r>
      <w:r>
        <w:t xml:space="preserve">fic Evidence and Future Projections, Climate Change </w:t>
      </w:r>
    </w:p>
    <w:p w:rsidR="005942CA" w:rsidRDefault="008148C4">
      <w:pPr>
        <w:ind w:left="174" w:right="53"/>
      </w:pPr>
      <w:r>
        <w:t xml:space="preserve">Impacts modelling, Natural Resources Management </w:t>
      </w:r>
    </w:p>
    <w:p w:rsidR="005942CA" w:rsidRDefault="008148C4">
      <w:pPr>
        <w:spacing w:after="0" w:line="259" w:lineRule="auto"/>
        <w:ind w:left="164" w:firstLine="0"/>
      </w:pPr>
      <w:r>
        <w:t xml:space="preserve"> </w:t>
      </w:r>
    </w:p>
    <w:p w:rsidR="005942CA" w:rsidRDefault="008148C4">
      <w:pPr>
        <w:spacing w:after="0" w:line="259" w:lineRule="auto"/>
        <w:ind w:left="22" w:firstLine="0"/>
      </w:pPr>
      <w:r>
        <w:rPr>
          <w:b/>
        </w:rPr>
        <w:t xml:space="preserve"> </w:t>
      </w:r>
    </w:p>
    <w:p w:rsidR="005942CA" w:rsidRDefault="008148C4">
      <w:pPr>
        <w:spacing w:after="0" w:line="259" w:lineRule="auto"/>
        <w:ind w:left="22" w:firstLine="0"/>
      </w:pPr>
      <w:r>
        <w:rPr>
          <w:b/>
        </w:rPr>
        <w:t xml:space="preserve"> </w:t>
      </w:r>
    </w:p>
    <w:p w:rsidR="005942CA" w:rsidRDefault="008148C4">
      <w:pPr>
        <w:spacing w:after="0" w:line="259" w:lineRule="auto"/>
        <w:ind w:left="22" w:firstLine="0"/>
      </w:pPr>
      <w:r>
        <w:rPr>
          <w:b/>
        </w:rPr>
        <w:t xml:space="preserve"> </w:t>
      </w:r>
    </w:p>
    <w:p w:rsidR="005942CA" w:rsidRDefault="008148C4">
      <w:pPr>
        <w:tabs>
          <w:tab w:val="center" w:pos="4342"/>
          <w:tab w:val="center" w:pos="5062"/>
          <w:tab w:val="center" w:pos="5782"/>
          <w:tab w:val="center" w:pos="6502"/>
          <w:tab w:val="center" w:pos="8230"/>
        </w:tabs>
        <w:spacing w:after="3" w:line="259" w:lineRule="auto"/>
        <w:ind w:left="0" w:firstLine="0"/>
      </w:pPr>
      <w:r>
        <w:rPr>
          <w:b/>
        </w:rPr>
        <w:t xml:space="preserve">Advanced Diploma in Microfinance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Nov 2010 – Jul 2012 </w:t>
      </w:r>
    </w:p>
    <w:p w:rsidR="005942CA" w:rsidRDefault="008148C4">
      <w:pPr>
        <w:spacing w:after="3" w:line="259" w:lineRule="auto"/>
        <w:ind w:left="17"/>
      </w:pPr>
      <w:r>
        <w:rPr>
          <w:b/>
        </w:rPr>
        <w:t>Istituto per gli Studi di Politica Internazionale</w:t>
      </w:r>
      <w:r>
        <w:t xml:space="preserve">, Milan, Italy </w:t>
      </w:r>
    </w:p>
    <w:p w:rsidR="005942CA" w:rsidRDefault="008148C4">
      <w:pPr>
        <w:ind w:left="174" w:right="53"/>
      </w:pPr>
      <w:r>
        <w:t xml:space="preserve">Microfinance, Financial Systems and Development, Financial inclusion of the underprivileged, </w:t>
      </w:r>
    </w:p>
    <w:p w:rsidR="005942CA" w:rsidRDefault="008148C4">
      <w:pPr>
        <w:ind w:left="174" w:right="53"/>
      </w:pPr>
      <w:r>
        <w:t xml:space="preserve">Project Cycle Management </w:t>
      </w:r>
    </w:p>
    <w:p w:rsidR="005942CA" w:rsidRDefault="008148C4">
      <w:pPr>
        <w:spacing w:after="0" w:line="259" w:lineRule="auto"/>
        <w:ind w:left="164" w:firstLine="0"/>
      </w:pPr>
      <w:r>
        <w:rPr>
          <w:b/>
        </w:rPr>
        <w:t xml:space="preserve"> </w:t>
      </w:r>
    </w:p>
    <w:p w:rsidR="005942CA" w:rsidRDefault="008148C4">
      <w:pPr>
        <w:tabs>
          <w:tab w:val="center" w:pos="5062"/>
          <w:tab w:val="center" w:pos="5782"/>
          <w:tab w:val="center" w:pos="6502"/>
          <w:tab w:val="center" w:pos="8261"/>
        </w:tabs>
        <w:spacing w:after="3" w:line="259" w:lineRule="auto"/>
        <w:ind w:left="0" w:firstLine="0"/>
      </w:pPr>
      <w:r>
        <w:rPr>
          <w:b/>
        </w:rPr>
        <w:t xml:space="preserve">Chartered Alternative Investment Analyst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Oct 2005 – Sep 2006 </w:t>
      </w:r>
    </w:p>
    <w:p w:rsidR="005942CA" w:rsidRDefault="008148C4">
      <w:pPr>
        <w:spacing w:after="3" w:line="259" w:lineRule="auto"/>
        <w:ind w:left="17"/>
      </w:pPr>
      <w:r>
        <w:rPr>
          <w:b/>
        </w:rPr>
        <w:t>University of Massachusetts at Amherst</w:t>
      </w:r>
      <w:r>
        <w:t xml:space="preserve">, USA </w:t>
      </w:r>
    </w:p>
    <w:p w:rsidR="005942CA" w:rsidRDefault="008148C4">
      <w:pPr>
        <w:ind w:left="174" w:right="53"/>
      </w:pPr>
      <w:r>
        <w:t>Alternative Investm</w:t>
      </w:r>
      <w:r>
        <w:t xml:space="preserve">ents; Asset Allocation; Financial Analysis; Financial Markets, Securities and </w:t>
      </w:r>
    </w:p>
    <w:p w:rsidR="005942CA" w:rsidRDefault="008148C4">
      <w:pPr>
        <w:ind w:left="174" w:right="53"/>
      </w:pPr>
      <w:r>
        <w:t xml:space="preserve">Derivatives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tabs>
          <w:tab w:val="center" w:pos="5062"/>
          <w:tab w:val="center" w:pos="5782"/>
          <w:tab w:val="center" w:pos="6502"/>
          <w:tab w:val="center" w:pos="8230"/>
        </w:tabs>
        <w:spacing w:after="3" w:line="259" w:lineRule="auto"/>
        <w:ind w:left="0" w:firstLine="0"/>
      </w:pPr>
      <w:r>
        <w:rPr>
          <w:b/>
        </w:rPr>
        <w:t xml:space="preserve">Graduate Degree (BA+MSc) in Economics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Sep 1998 – Jul 2003 </w:t>
      </w:r>
    </w:p>
    <w:p w:rsidR="005942CA" w:rsidRDefault="008148C4">
      <w:pPr>
        <w:spacing w:after="3" w:line="259" w:lineRule="auto"/>
        <w:ind w:left="17"/>
      </w:pPr>
      <w:r>
        <w:rPr>
          <w:b/>
        </w:rPr>
        <w:t>Bocconi University</w:t>
      </w:r>
      <w:r>
        <w:t xml:space="preserve">, Milan, Italy </w:t>
      </w:r>
    </w:p>
    <w:p w:rsidR="005942CA" w:rsidRDefault="008148C4">
      <w:pPr>
        <w:ind w:left="174" w:right="53"/>
      </w:pPr>
      <w:r>
        <w:t>Microeconomics, Macroeconomics, International Trade, Labour E</w:t>
      </w:r>
      <w:r>
        <w:t xml:space="preserve">conomics, European Policy, </w:t>
      </w:r>
    </w:p>
    <w:p w:rsidR="005942CA" w:rsidRDefault="008148C4">
      <w:pPr>
        <w:ind w:left="174" w:right="53"/>
      </w:pPr>
      <w:r>
        <w:t xml:space="preserve">Econometrics, Financial Analyst, Monetary Economics, International Organization Management, Business Management, Mathematics, Statistics </w:t>
      </w:r>
    </w:p>
    <w:p w:rsidR="005942CA" w:rsidRDefault="008148C4">
      <w:pPr>
        <w:spacing w:after="0" w:line="259" w:lineRule="auto"/>
        <w:ind w:left="1156" w:firstLine="0"/>
      </w:pPr>
      <w:r>
        <w:rPr>
          <w:b/>
        </w:rPr>
        <w:t xml:space="preserve"> </w:t>
      </w:r>
    </w:p>
    <w:p w:rsidR="005942CA" w:rsidRDefault="008148C4">
      <w:pPr>
        <w:spacing w:after="0" w:line="259" w:lineRule="auto"/>
        <w:ind w:left="22" w:firstLine="0"/>
      </w:pPr>
      <w:r>
        <w:rPr>
          <w:sz w:val="20"/>
        </w:rPr>
        <w:t xml:space="preserve"> </w:t>
      </w:r>
    </w:p>
    <w:p w:rsidR="005942CA" w:rsidRDefault="008148C4">
      <w:pPr>
        <w:pStyle w:val="Heading1"/>
        <w:ind w:left="1063" w:right="1134"/>
      </w:pPr>
      <w:r>
        <w:t xml:space="preserve">Additional Skills  </w:t>
      </w:r>
    </w:p>
    <w:p w:rsidR="005942CA" w:rsidRDefault="008148C4">
      <w:pPr>
        <w:spacing w:after="20" w:line="259" w:lineRule="auto"/>
        <w:ind w:left="22" w:firstLine="0"/>
      </w:pPr>
      <w:r>
        <w:rPr>
          <w:sz w:val="20"/>
        </w:rPr>
        <w:t xml:space="preserve"> </w:t>
      </w:r>
    </w:p>
    <w:p w:rsidR="005942CA" w:rsidRDefault="008148C4">
      <w:pPr>
        <w:numPr>
          <w:ilvl w:val="0"/>
          <w:numId w:val="4"/>
        </w:numPr>
        <w:ind w:right="53" w:hanging="142"/>
      </w:pPr>
      <w:r>
        <w:t xml:space="preserve">Fluent in English, Intermediate French, Intermediate Spanish, Italian mother tongue </w:t>
      </w:r>
    </w:p>
    <w:p w:rsidR="005942CA" w:rsidRDefault="008148C4">
      <w:pPr>
        <w:numPr>
          <w:ilvl w:val="0"/>
          <w:numId w:val="4"/>
        </w:numPr>
        <w:ind w:right="53" w:hanging="142"/>
      </w:pPr>
      <w:r>
        <w:t xml:space="preserve">Econometric and statistical analysis with dedicated software Eviews and STATA </w:t>
      </w:r>
    </w:p>
    <w:p w:rsidR="005942CA" w:rsidRDefault="008148C4">
      <w:pPr>
        <w:numPr>
          <w:ilvl w:val="0"/>
          <w:numId w:val="4"/>
        </w:numPr>
        <w:ind w:right="53" w:hanging="142"/>
      </w:pPr>
      <w:r>
        <w:t xml:space="preserve">Financial analysis software and financial modeling (Bloomberg, PerTrac 2000)  </w:t>
      </w:r>
    </w:p>
    <w:p w:rsidR="005942CA" w:rsidRDefault="008148C4">
      <w:pPr>
        <w:numPr>
          <w:ilvl w:val="0"/>
          <w:numId w:val="4"/>
        </w:numPr>
        <w:ind w:right="53" w:hanging="142"/>
      </w:pPr>
      <w:r>
        <w:t>Recruited, tr</w:t>
      </w:r>
      <w:r>
        <w:t xml:space="preserve">ained and managed a team of analysts and coordinated inter-departmental projects </w:t>
      </w:r>
    </w:p>
    <w:p w:rsidR="005942CA" w:rsidRDefault="008148C4">
      <w:pPr>
        <w:spacing w:after="0" w:line="259" w:lineRule="auto"/>
        <w:ind w:left="1156" w:firstLine="0"/>
      </w:pPr>
      <w:r>
        <w:rPr>
          <w:b/>
        </w:rPr>
        <w:t xml:space="preserve"> </w:t>
      </w:r>
    </w:p>
    <w:p w:rsidR="005942CA" w:rsidRDefault="008148C4">
      <w:pPr>
        <w:spacing w:after="0" w:line="259" w:lineRule="auto"/>
        <w:ind w:left="0" w:right="19" w:firstLine="0"/>
        <w:jc w:val="center"/>
      </w:pPr>
      <w:r>
        <w:rPr>
          <w:b/>
        </w:rPr>
        <w:t xml:space="preserve"> </w:t>
      </w:r>
    </w:p>
    <w:p w:rsidR="005942CA" w:rsidRDefault="008148C4">
      <w:pPr>
        <w:pStyle w:val="Heading1"/>
        <w:ind w:left="1063" w:right="1135"/>
      </w:pPr>
      <w:r>
        <w:t xml:space="preserve">Articles and Publications </w:t>
      </w:r>
    </w:p>
    <w:p w:rsidR="005942CA" w:rsidRDefault="008148C4">
      <w:pPr>
        <w:pStyle w:val="Heading2"/>
        <w:ind w:left="17"/>
      </w:pPr>
      <w:r>
        <w:t>Publications</w:t>
      </w:r>
      <w:r>
        <w:rPr>
          <w:b w:val="0"/>
          <w:i w:val="0"/>
        </w:rPr>
        <w:t xml:space="preserve">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ind w:left="17" w:right="53"/>
      </w:pPr>
      <w:r>
        <w:t xml:space="preserve">Amin </w:t>
      </w:r>
      <w:r>
        <w:rPr>
          <w:i/>
        </w:rPr>
        <w:t>et al</w:t>
      </w:r>
      <w:r>
        <w:t>. Climate Change Goal of the IDB and the IIC. Climate Change and Sustenability Division (IDB) – Non-</w:t>
      </w:r>
      <w:r>
        <w:t xml:space="preserve">Financial Products and Services Team (IIC). InterAmerican Development Bank Group, </w:t>
      </w:r>
    </w:p>
    <w:p w:rsidR="005942CA" w:rsidRDefault="008148C4">
      <w:pPr>
        <w:ind w:left="17" w:right="53"/>
      </w:pPr>
      <w:r>
        <w:t xml:space="preserve">February 2016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spacing w:after="10"/>
        <w:ind w:left="17"/>
      </w:pPr>
      <w:r>
        <w:t xml:space="preserve">Carafa L., Frisari G. and Vidican G. 2015. </w:t>
      </w:r>
      <w:r>
        <w:rPr>
          <w:i/>
        </w:rPr>
        <w:t>Electricity transition in the Middle East and North Africa: a de-risking governance approach.</w:t>
      </w:r>
      <w:r>
        <w:t xml:space="preserve"> </w:t>
      </w:r>
      <w:r>
        <w:t xml:space="preserve">Journal of Cleaner Production, July 11 2015. </w:t>
      </w:r>
    </w:p>
    <w:p w:rsidR="005942CA" w:rsidRDefault="008148C4">
      <w:pPr>
        <w:spacing w:after="0" w:line="259" w:lineRule="auto"/>
        <w:ind w:left="17"/>
      </w:pPr>
      <w:r>
        <w:rPr>
          <w:color w:val="306B9D"/>
          <w:u w:val="single" w:color="306B9D"/>
        </w:rPr>
        <w:t>doi:10.1016/j.jclepro.2015.07.012</w:t>
      </w:r>
      <w:r>
        <w:t xml:space="preserve">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ind w:left="17" w:right="53"/>
      </w:pPr>
      <w:r>
        <w:t>Frisari G, Micale V. 2015. Risk Mitigation Instruments for Renewable Energy in Developing Countries: A Case Study on Hydropower in Africa. Climate Policy Initiative, July 20</w:t>
      </w:r>
      <w:r>
        <w:t xml:space="preserve">15. </w:t>
      </w:r>
    </w:p>
    <w:p w:rsidR="005942CA" w:rsidRDefault="008148C4">
      <w:pPr>
        <w:spacing w:after="0"/>
        <w:ind w:left="17"/>
      </w:pPr>
      <w:r>
        <w:rPr>
          <w:color w:val="0000FF"/>
          <w:u w:val="single" w:color="0000FF"/>
        </w:rPr>
        <w:t>http://climatepolicyinitiative.org/wp-content/uploads/2015/07/Risk-Mitigation-Instruments-forRenewable-Energy-in-Developing-Countries-–-A-Case-Study-on-Hydropower-in-Africa.pdf</w:t>
      </w:r>
      <w:r>
        <w:t xml:space="preserve">  </w:t>
      </w:r>
    </w:p>
    <w:p w:rsidR="005942CA" w:rsidRDefault="008148C4">
      <w:pPr>
        <w:spacing w:after="0" w:line="259" w:lineRule="auto"/>
        <w:ind w:left="22" w:firstLine="0"/>
      </w:pPr>
      <w:r>
        <w:rPr>
          <w:b/>
        </w:rPr>
        <w:t xml:space="preserve"> </w:t>
      </w:r>
    </w:p>
    <w:p w:rsidR="005942CA" w:rsidRDefault="008148C4">
      <w:pPr>
        <w:ind w:left="17" w:right="53"/>
      </w:pPr>
      <w:r>
        <w:t xml:space="preserve">Escalante D and Frisari G. 2015. </w:t>
      </w:r>
      <w:r>
        <w:rPr>
          <w:i/>
        </w:rPr>
        <w:t>Long-Term FX Risk Management Pilot Pr</w:t>
      </w:r>
      <w:r>
        <w:rPr>
          <w:i/>
        </w:rPr>
        <w:t>oposal and Implementation Plan</w:t>
      </w:r>
      <w:r>
        <w:t xml:space="preserve">. The Global Innovation Lab for Climate Finance, April 2015 </w:t>
      </w:r>
    </w:p>
    <w:p w:rsidR="005942CA" w:rsidRDefault="008148C4">
      <w:pPr>
        <w:spacing w:after="0"/>
        <w:ind w:left="17"/>
      </w:pPr>
      <w:r>
        <w:rPr>
          <w:color w:val="0000FF"/>
          <w:u w:val="single" w:color="0000FF"/>
        </w:rPr>
        <w:t>http://climatefinancelab.org/wp-content/uploads/2014/08/Long-Term-FX-Risk-Management-LabPhase-3-Analysis-Summary.pdf</w:t>
      </w:r>
      <w:r>
        <w:t xml:space="preserve"> 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spacing w:after="10"/>
        <w:ind w:left="17"/>
      </w:pPr>
      <w:r>
        <w:t xml:space="preserve">Oliver P. and Frisari G. 2015. </w:t>
      </w:r>
      <w:r>
        <w:rPr>
          <w:i/>
        </w:rPr>
        <w:t>Climate Devel</w:t>
      </w:r>
      <w:r>
        <w:rPr>
          <w:i/>
        </w:rPr>
        <w:t xml:space="preserve">opment and Finance Facility: </w:t>
      </w:r>
    </w:p>
    <w:p w:rsidR="005942CA" w:rsidRDefault="008148C4">
      <w:pPr>
        <w:spacing w:after="0"/>
        <w:ind w:left="17"/>
      </w:pPr>
      <w:r>
        <w:rPr>
          <w:i/>
        </w:rPr>
        <w:lastRenderedPageBreak/>
        <w:t>Pilot Proposal and Implementation Plan</w:t>
      </w:r>
      <w:r>
        <w:t xml:space="preserve">. The Global Innovation Lab for Climate Finance, April 2015 </w:t>
      </w:r>
      <w:r>
        <w:rPr>
          <w:color w:val="0000FF"/>
          <w:u w:val="single" w:color="0000FF"/>
        </w:rPr>
        <w:t>http://climatefinancelab.org/wp-content/uploads/2014/08/Climate-Development-and-Finance-FacilityLab-Phase-3-Analysis-Summary.pdf</w:t>
      </w:r>
      <w:r>
        <w:t xml:space="preserve"> 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spacing w:after="10"/>
        <w:ind w:left="17"/>
      </w:pPr>
      <w:r>
        <w:t xml:space="preserve">Frisari G. and Stadelmann M. 2015. </w:t>
      </w:r>
      <w:r>
        <w:rPr>
          <w:i/>
        </w:rPr>
        <w:t>De-risking concentrated solar power in emerging markets: the role of policies and international finance institutions</w:t>
      </w:r>
      <w:r>
        <w:t xml:space="preserve">. Energy Policy, February 11 2015. </w:t>
      </w:r>
    </w:p>
    <w:p w:rsidR="005942CA" w:rsidRDefault="008148C4">
      <w:pPr>
        <w:spacing w:after="0" w:line="259" w:lineRule="auto"/>
        <w:ind w:left="17"/>
      </w:pPr>
      <w:r>
        <w:rPr>
          <w:color w:val="306B9D"/>
          <w:u w:val="single" w:color="306B9D"/>
        </w:rPr>
        <w:t>doi:10.1016/j.enpol.2015.02.011</w:t>
      </w:r>
      <w:r>
        <w:t xml:space="preserve"> </w:t>
      </w:r>
    </w:p>
    <w:p w:rsidR="005942CA" w:rsidRDefault="008148C4">
      <w:pPr>
        <w:spacing w:after="0" w:line="259" w:lineRule="auto"/>
        <w:ind w:left="742" w:firstLine="0"/>
      </w:pPr>
      <w:r>
        <w:t xml:space="preserve"> </w:t>
      </w:r>
    </w:p>
    <w:p w:rsidR="005942CA" w:rsidRDefault="008148C4">
      <w:pPr>
        <w:spacing w:after="10"/>
        <w:ind w:left="17"/>
      </w:pPr>
      <w:r>
        <w:t xml:space="preserve">Frisari G., </w:t>
      </w:r>
      <w:r>
        <w:rPr>
          <w:i/>
        </w:rPr>
        <w:t>Mobilizing privat</w:t>
      </w:r>
      <w:r>
        <w:rPr>
          <w:i/>
        </w:rPr>
        <w:t xml:space="preserve">e sector capital for low-emission investments. </w:t>
      </w:r>
    </w:p>
    <w:p w:rsidR="005942CA" w:rsidRDefault="008148C4">
      <w:pPr>
        <w:ind w:left="17" w:right="53"/>
      </w:pPr>
      <w:r>
        <w:rPr>
          <w:i/>
        </w:rPr>
        <w:t>A risk allocation framework</w:t>
      </w:r>
      <w:r>
        <w:t xml:space="preserve">. PhD Thesis, University of Venice, January 28, 2015. </w:t>
      </w:r>
    </w:p>
    <w:p w:rsidR="005942CA" w:rsidRDefault="008148C4">
      <w:pPr>
        <w:spacing w:after="0"/>
        <w:ind w:left="17"/>
      </w:pPr>
      <w:r>
        <w:rPr>
          <w:color w:val="0000FF"/>
          <w:u w:val="single" w:color="0000FF"/>
        </w:rPr>
        <w:t>http://dspace.unive.it/handle/10579/6543</w:t>
      </w:r>
      <w:r>
        <w:rPr>
          <w:b/>
        </w:rPr>
        <w:t xml:space="preserve">  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spacing w:after="10"/>
        <w:ind w:left="17"/>
      </w:pPr>
      <w:r>
        <w:t xml:space="preserve">Frisari G and Oliver P. 2014. </w:t>
      </w:r>
      <w:r>
        <w:rPr>
          <w:i/>
        </w:rPr>
        <w:t>Renewable Energy Platform for Institutional Invest</w:t>
      </w:r>
      <w:r>
        <w:rPr>
          <w:i/>
        </w:rPr>
        <w:t xml:space="preserve">ors (REPIN): </w:t>
      </w:r>
    </w:p>
    <w:p w:rsidR="005942CA" w:rsidRDefault="008148C4">
      <w:pPr>
        <w:ind w:left="17" w:right="53"/>
      </w:pPr>
      <w:r>
        <w:rPr>
          <w:i/>
        </w:rPr>
        <w:t>Analysis Report</w:t>
      </w:r>
      <w:r>
        <w:t xml:space="preserve">. The Global Innovation Lab for Climate Finance, October 2014. </w:t>
      </w:r>
    </w:p>
    <w:p w:rsidR="005942CA" w:rsidRDefault="008148C4">
      <w:pPr>
        <w:spacing w:after="0"/>
        <w:ind w:left="17"/>
      </w:pPr>
      <w:r>
        <w:rPr>
          <w:color w:val="0000FF"/>
          <w:u w:val="single" w:color="0000FF"/>
        </w:rPr>
        <w:t>http://climatefinancelab.org/wp-content/uploads/2014/08/Renewable-Energy-Platform-forInstitutional-Investors-REPIN-Lab-Phase-2-Analysis-Summary.pdf</w:t>
      </w:r>
      <w:r>
        <w:t xml:space="preserve"> 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spacing w:after="0"/>
        <w:ind w:left="17"/>
      </w:pPr>
      <w:r>
        <w:t xml:space="preserve">Stadelmann M., Frisari G, Rosenberg A, Buchner B. 2014. </w:t>
      </w:r>
      <w:r>
        <w:rPr>
          <w:i/>
        </w:rPr>
        <w:t>The Role of Public Finance in CSP: Lessons Learned.</w:t>
      </w:r>
      <w:r>
        <w:t xml:space="preserve"> Climate Policy Initiative, June 2014. </w:t>
      </w:r>
      <w:r>
        <w:rPr>
          <w:color w:val="0000FF"/>
          <w:u w:val="single" w:color="0000FF"/>
        </w:rPr>
        <w:t>http://climatepolicyinitiative.org/wpcontent/uploads/2014/06/The-Role-of-Public-Finance-in-CSP-Lessons-Learned</w:t>
      </w:r>
      <w:r>
        <w:rPr>
          <w:color w:val="0000FF"/>
          <w:u w:val="single" w:color="0000FF"/>
        </w:rPr>
        <w:t>.pdf</w:t>
      </w:r>
      <w:r>
        <w:t xml:space="preserve"> 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spacing w:after="0"/>
        <w:ind w:left="17"/>
      </w:pPr>
      <w:r>
        <w:t xml:space="preserve">Frisari G. and Feas J., 2014. The Role of Public Finance in CSP: How policy in Spain created a leading industry but then shattered investor confidence. Climate Policy Initiative, May 2014. </w:t>
      </w:r>
      <w:r>
        <w:rPr>
          <w:color w:val="0000FF"/>
          <w:u w:val="single" w:color="0000FF"/>
        </w:rPr>
        <w:t>http://climatepolicyinitiative.org/wp-content/uploads/2014</w:t>
      </w:r>
      <w:r>
        <w:rPr>
          <w:color w:val="0000FF"/>
          <w:u w:val="single" w:color="0000FF"/>
        </w:rPr>
        <w:t>/08/SGG-Brief-–-The-Role-of-PublicFinance-in-CSP-How-Spain-created-a-world-leading-industry-then-shattered-investor-confidence.pdf</w:t>
      </w:r>
      <w:r>
        <w:t xml:space="preserve"> 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ind w:left="17" w:right="53"/>
      </w:pPr>
      <w:r>
        <w:t xml:space="preserve">Stadelmann M., Frisari G., Konda C., 2014. The Role of Public Finance in CSP – </w:t>
      </w:r>
      <w:r>
        <w:t xml:space="preserve">Rajasthan Sun Technique 100MW CSP plant, India. Climate Policy Initiative, March 2014 </w:t>
      </w:r>
    </w:p>
    <w:p w:rsidR="005942CA" w:rsidRDefault="008148C4">
      <w:pPr>
        <w:spacing w:after="0"/>
        <w:ind w:left="17"/>
      </w:pPr>
      <w:r>
        <w:rPr>
          <w:color w:val="0000FF"/>
          <w:u w:val="single" w:color="0000FF"/>
        </w:rPr>
        <w:t>http://climatepolicyinitiative.org/wp-content/uploads/2014/03/SGG-Case-Study-The-Role-of-PublicFinance-in-CSP-Rajasthan-Sun-Technique-India.pdf</w:t>
      </w:r>
      <w:r>
        <w:t xml:space="preserve"> 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ind w:left="17" w:right="53"/>
      </w:pPr>
      <w:r>
        <w:t>Stadelmann M., Frisar</w:t>
      </w:r>
      <w:r>
        <w:t xml:space="preserve">i G., Boyd R., Feas J., 2014. The Role of Public Finance in CSP – Approach to Measuring Effectiveness. Climate Policy Initiative, January 2014 </w:t>
      </w:r>
    </w:p>
    <w:p w:rsidR="005942CA" w:rsidRDefault="008148C4">
      <w:pPr>
        <w:spacing w:after="0"/>
        <w:ind w:left="17"/>
      </w:pPr>
      <w:r>
        <w:rPr>
          <w:color w:val="0000FF"/>
          <w:u w:val="single" w:color="0000FF"/>
        </w:rPr>
        <w:t>http://climatepolicyinitiative.org/wp-content/uploads/2014/01/SGG-Brief-The-Role-of-Public-Financein-CSP-Backgro</w:t>
      </w:r>
      <w:r>
        <w:rPr>
          <w:color w:val="0000FF"/>
          <w:u w:val="single" w:color="0000FF"/>
        </w:rPr>
        <w:t>und-and-Approach-to-Measure-its-Effectiveness.pdf</w:t>
      </w:r>
      <w:r>
        <w:t xml:space="preserve"> 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ind w:left="17" w:right="53"/>
      </w:pPr>
      <w:r>
        <w:t xml:space="preserve">Micale V., Frisari G., Mazza F., 2013. Mapping the World Bank Group Risk Mitigation Instruments for Climate Change. Climate Policy Initiative, September, 2013 </w:t>
      </w:r>
      <w:r>
        <w:rPr>
          <w:color w:val="0000FF"/>
          <w:u w:val="single" w:color="0000FF"/>
        </w:rPr>
        <w:t>http://climatepolicyinitiative.org/wpconten</w:t>
      </w:r>
      <w:r>
        <w:rPr>
          <w:color w:val="0000FF"/>
          <w:u w:val="single" w:color="0000FF"/>
        </w:rPr>
        <w:t>t/uploads/2013/09/World-Bank-Group-Risk-Mitigation-Instruments-for-Climate-ChangeBrief1.pdf</w:t>
      </w:r>
      <w:r>
        <w:t xml:space="preserve"> 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ind w:left="17" w:right="53"/>
      </w:pPr>
      <w:r>
        <w:t>Frisari G., Hervè-Mignucci M., Micale V., Mazza F., 2013, Risk Gaps: A Map of Risk Mitigation Instruments for Clean Investments, Climate Policy Initiative, Janu</w:t>
      </w:r>
      <w:r>
        <w:t xml:space="preserve">ary 2013 </w:t>
      </w:r>
    </w:p>
    <w:p w:rsidR="005942CA" w:rsidRDefault="008148C4">
      <w:pPr>
        <w:spacing w:after="0"/>
        <w:ind w:left="17"/>
      </w:pPr>
      <w:r>
        <w:rPr>
          <w:color w:val="0000FF"/>
          <w:u w:val="single" w:color="0000FF"/>
        </w:rPr>
        <w:t>http://climatepolicyinitiative.org/wp-content/uploads/2013/01/Risk-Gaps-A-Map-of-Risk-MitigationInstruments-for-Clean-Investments.pdf</w:t>
      </w:r>
      <w:r>
        <w:t xml:space="preserve"> 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ind w:left="17" w:right="53"/>
      </w:pPr>
      <w:r>
        <w:t>Hervè-Mignucci M., Frisari G., Micale V., Mazza F., 2013, Risk Gaps: First-Loss Protection Mechanisms, Clima</w:t>
      </w:r>
      <w:r>
        <w:t xml:space="preserve">te Policy Initiative, January 2013 </w:t>
      </w:r>
      <w:r>
        <w:rPr>
          <w:color w:val="0000FF"/>
          <w:u w:val="single" w:color="0000FF"/>
        </w:rPr>
        <w:t>http://climatepolicyinitiative.org/wpcontent/uploads/2013/01/Risk-Gaps-First-Loss-Protection-Mechanisms.pdf</w:t>
      </w:r>
      <w:r>
        <w:t xml:space="preserve"> 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ind w:left="17" w:right="53"/>
      </w:pPr>
      <w:r>
        <w:t xml:space="preserve">Micale V., Frisari G., Hervè-Mignucci M., Mazza F., 2013, Risk Gaps: Policy Risk Instruments, </w:t>
      </w:r>
    </w:p>
    <w:p w:rsidR="005942CA" w:rsidRDefault="008148C4">
      <w:pPr>
        <w:spacing w:after="0"/>
        <w:ind w:left="17"/>
      </w:pPr>
      <w:r>
        <w:t>Climate Policy</w:t>
      </w:r>
      <w:r>
        <w:t xml:space="preserve"> Initiative, January 2013 </w:t>
      </w:r>
      <w:r>
        <w:rPr>
          <w:color w:val="0000FF"/>
          <w:u w:val="single" w:color="0000FF"/>
        </w:rPr>
        <w:t>http://climatepolicyinitiative.org/wpcontent/uploads/2013/01/Risk-Gaps-Policy-Risk-Instruments.pdf</w:t>
      </w:r>
      <w:r>
        <w:t xml:space="preserve">  </w:t>
      </w:r>
    </w:p>
    <w:p w:rsidR="005942CA" w:rsidRDefault="008148C4">
      <w:pPr>
        <w:spacing w:after="0" w:line="259" w:lineRule="auto"/>
        <w:ind w:left="22" w:firstLine="0"/>
      </w:pPr>
      <w:r>
        <w:rPr>
          <w:b/>
        </w:rPr>
        <w:lastRenderedPageBreak/>
        <w:t xml:space="preserve"> </w:t>
      </w:r>
    </w:p>
    <w:p w:rsidR="005942CA" w:rsidRDefault="008148C4">
      <w:pPr>
        <w:ind w:left="17" w:right="53"/>
      </w:pPr>
      <w:r>
        <w:t xml:space="preserve">Angela Falconer, Gianleo Frisari, 2012, San Giorgio Group Case Study: Ouarzazate I CSP, Climate </w:t>
      </w:r>
    </w:p>
    <w:p w:rsidR="005942CA" w:rsidRDefault="008148C4">
      <w:pPr>
        <w:spacing w:after="0"/>
        <w:ind w:left="17"/>
      </w:pPr>
      <w:r>
        <w:t>Policy Initiative, August 2012</w:t>
      </w:r>
      <w:r>
        <w:t xml:space="preserve"> </w:t>
      </w:r>
      <w:r>
        <w:rPr>
          <w:color w:val="0000FF"/>
          <w:u w:val="single" w:color="0000FF"/>
        </w:rPr>
        <w:t>http://climatepolicyinitiative.org/wpcontent/uploads/2012/08/Ouarzazate-I-CSP.pdf</w:t>
      </w:r>
      <w:r>
        <w:t xml:space="preserve"> </w:t>
      </w:r>
      <w:r>
        <w:rPr>
          <w:color w:val="0000FF"/>
        </w:rPr>
        <w:t xml:space="preserve">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ind w:left="17" w:right="53"/>
      </w:pPr>
      <w:r>
        <w:t xml:space="preserve">Chiara Trabacchi, Valerio Micale, Gianleo Frisari, 2012, San Giorgio Group Case Study: Prosol </w:t>
      </w:r>
    </w:p>
    <w:p w:rsidR="005942CA" w:rsidRDefault="008148C4">
      <w:pPr>
        <w:spacing w:after="0"/>
        <w:ind w:left="17"/>
      </w:pPr>
      <w:r>
        <w:t xml:space="preserve">Tunisia, Climate Policy Initiative, June 2012 </w:t>
      </w:r>
      <w:r>
        <w:rPr>
          <w:color w:val="0000FF"/>
          <w:u w:val="single" w:color="0000FF"/>
        </w:rPr>
        <w:t>http://climatepolicyinitiative.org/wpcontent/uploads/2012/08/Prosol-Tunisia-SGG-Case-Study.pdf</w:t>
      </w:r>
      <w:r>
        <w:t xml:space="preserve"> 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pStyle w:val="Heading2"/>
        <w:ind w:left="17"/>
      </w:pPr>
      <w:r>
        <w:t xml:space="preserve">Magazines Articles </w:t>
      </w:r>
    </w:p>
    <w:p w:rsidR="005942CA" w:rsidRDefault="008148C4">
      <w:pPr>
        <w:spacing w:after="0" w:line="259" w:lineRule="auto"/>
        <w:ind w:left="22" w:firstLine="0"/>
      </w:pPr>
      <w:r>
        <w:rPr>
          <w:b/>
          <w:i/>
        </w:rPr>
        <w:t xml:space="preserve"> </w:t>
      </w:r>
    </w:p>
    <w:p w:rsidR="005942CA" w:rsidRDefault="008148C4">
      <w:pPr>
        <w:ind w:left="17" w:right="53"/>
      </w:pPr>
      <w:r>
        <w:t xml:space="preserve">Environmental Finance, 17 January 2014, A bright future. </w:t>
      </w:r>
    </w:p>
    <w:p w:rsidR="005942CA" w:rsidRDefault="008148C4">
      <w:pPr>
        <w:spacing w:after="0"/>
        <w:ind w:left="17" w:right="905"/>
      </w:pPr>
      <w:r>
        <w:rPr>
          <w:color w:val="0000FF"/>
          <w:u w:val="single" w:color="0000FF"/>
        </w:rPr>
        <w:t>http://www.environmental-finance.com/content/analysis/a-bright-future.html</w:t>
      </w:r>
      <w:r>
        <w:t xml:space="preserve">  E</w:t>
      </w:r>
      <w:r>
        <w:t xml:space="preserve">nvironmental Finance, 28 March 2013, Mind the risk gap. </w:t>
      </w:r>
    </w:p>
    <w:p w:rsidR="005942CA" w:rsidRDefault="008148C4">
      <w:pPr>
        <w:spacing w:after="0"/>
        <w:ind w:left="17"/>
      </w:pPr>
      <w:r>
        <w:rPr>
          <w:color w:val="0000FF"/>
          <w:u w:val="single" w:color="0000FF"/>
        </w:rPr>
        <w:t>http://www.environmental-finance.com/content/analysis/mind-the-risk-gap.html</w:t>
      </w:r>
      <w:r>
        <w:t xml:space="preserve">  </w:t>
      </w:r>
    </w:p>
    <w:p w:rsidR="005942CA" w:rsidRDefault="008148C4">
      <w:pPr>
        <w:spacing w:after="0" w:line="259" w:lineRule="auto"/>
        <w:ind w:left="22" w:firstLine="0"/>
      </w:pPr>
      <w:r>
        <w:t xml:space="preserve"> </w:t>
      </w:r>
    </w:p>
    <w:p w:rsidR="005942CA" w:rsidRDefault="008148C4">
      <w:pPr>
        <w:spacing w:after="97" w:line="259" w:lineRule="auto"/>
        <w:ind w:left="22" w:firstLine="0"/>
      </w:pPr>
      <w:r>
        <w:t xml:space="preserve"> </w:t>
      </w:r>
    </w:p>
    <w:p w:rsidR="005942CA" w:rsidRDefault="008148C4">
      <w:pPr>
        <w:spacing w:after="97" w:line="259" w:lineRule="auto"/>
        <w:ind w:left="22" w:firstLine="0"/>
      </w:pPr>
      <w:r>
        <w:t xml:space="preserve"> </w:t>
      </w:r>
    </w:p>
    <w:p w:rsidR="005942CA" w:rsidRDefault="008148C4">
      <w:pPr>
        <w:spacing w:after="3" w:line="259" w:lineRule="auto"/>
        <w:ind w:left="17"/>
      </w:pPr>
      <w:r>
        <w:rPr>
          <w:b/>
        </w:rPr>
        <w:t xml:space="preserve">References available upon request </w:t>
      </w:r>
    </w:p>
    <w:sectPr w:rsidR="005942CA">
      <w:pgSz w:w="11906" w:h="16838"/>
      <w:pgMar w:top="861" w:right="1006" w:bottom="897" w:left="11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6EDF"/>
    <w:multiLevelType w:val="hybridMultilevel"/>
    <w:tmpl w:val="56EC11F2"/>
    <w:lvl w:ilvl="0" w:tplc="E9EEFF88">
      <w:start w:val="1"/>
      <w:numFmt w:val="bullet"/>
      <w:lvlText w:val="•"/>
      <w:lvlJc w:val="left"/>
      <w:pPr>
        <w:ind w:left="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A0EAF2">
      <w:start w:val="1"/>
      <w:numFmt w:val="bullet"/>
      <w:lvlText w:val="o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61D40">
      <w:start w:val="1"/>
      <w:numFmt w:val="bullet"/>
      <w:lvlText w:val="▪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7252E0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44ED34">
      <w:start w:val="1"/>
      <w:numFmt w:val="bullet"/>
      <w:lvlText w:val="o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0253EA">
      <w:start w:val="1"/>
      <w:numFmt w:val="bullet"/>
      <w:lvlText w:val="▪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A469C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A2CBDA">
      <w:start w:val="1"/>
      <w:numFmt w:val="bullet"/>
      <w:lvlText w:val="o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607A12">
      <w:start w:val="1"/>
      <w:numFmt w:val="bullet"/>
      <w:lvlText w:val="▪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937525"/>
    <w:multiLevelType w:val="hybridMultilevel"/>
    <w:tmpl w:val="C5ACE158"/>
    <w:lvl w:ilvl="0" w:tplc="8F16D7D6">
      <w:start w:val="1"/>
      <w:numFmt w:val="bullet"/>
      <w:lvlText w:val="•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567CFE">
      <w:start w:val="1"/>
      <w:numFmt w:val="bullet"/>
      <w:lvlText w:val="o"/>
      <w:lvlJc w:val="left"/>
      <w:pPr>
        <w:ind w:left="1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7C31F8">
      <w:start w:val="1"/>
      <w:numFmt w:val="bullet"/>
      <w:lvlText w:val="▪"/>
      <w:lvlJc w:val="left"/>
      <w:pPr>
        <w:ind w:left="1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BE4A7C">
      <w:start w:val="1"/>
      <w:numFmt w:val="bullet"/>
      <w:lvlText w:val="•"/>
      <w:lvlJc w:val="left"/>
      <w:pPr>
        <w:ind w:left="2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1ACC74">
      <w:start w:val="1"/>
      <w:numFmt w:val="bullet"/>
      <w:lvlText w:val="o"/>
      <w:lvlJc w:val="left"/>
      <w:pPr>
        <w:ind w:left="3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C6BAAE">
      <w:start w:val="1"/>
      <w:numFmt w:val="bullet"/>
      <w:lvlText w:val="▪"/>
      <w:lvlJc w:val="left"/>
      <w:pPr>
        <w:ind w:left="3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922CF0">
      <w:start w:val="1"/>
      <w:numFmt w:val="bullet"/>
      <w:lvlText w:val="•"/>
      <w:lvlJc w:val="left"/>
      <w:pPr>
        <w:ind w:left="4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A83652">
      <w:start w:val="1"/>
      <w:numFmt w:val="bullet"/>
      <w:lvlText w:val="o"/>
      <w:lvlJc w:val="left"/>
      <w:pPr>
        <w:ind w:left="5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526ECC">
      <w:start w:val="1"/>
      <w:numFmt w:val="bullet"/>
      <w:lvlText w:val="▪"/>
      <w:lvlJc w:val="left"/>
      <w:pPr>
        <w:ind w:left="6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E9B02CA"/>
    <w:multiLevelType w:val="hybridMultilevel"/>
    <w:tmpl w:val="3F3C2E84"/>
    <w:lvl w:ilvl="0" w:tplc="FBD6D8F6">
      <w:start w:val="1"/>
      <w:numFmt w:val="bullet"/>
      <w:lvlText w:val="-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1C7A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A2671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CC04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967DD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634F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4C9E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2CF25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DA45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DDB09D0"/>
    <w:multiLevelType w:val="hybridMultilevel"/>
    <w:tmpl w:val="33662906"/>
    <w:lvl w:ilvl="0" w:tplc="28BE5298">
      <w:start w:val="1"/>
      <w:numFmt w:val="bullet"/>
      <w:lvlText w:val="•"/>
      <w:lvlJc w:val="left"/>
      <w:pPr>
        <w:ind w:left="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82B87C">
      <w:start w:val="1"/>
      <w:numFmt w:val="bullet"/>
      <w:lvlText w:val="o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D2FA96">
      <w:start w:val="1"/>
      <w:numFmt w:val="bullet"/>
      <w:lvlText w:val="▪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9028A2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3052BA">
      <w:start w:val="1"/>
      <w:numFmt w:val="bullet"/>
      <w:lvlText w:val="o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AB41A">
      <w:start w:val="1"/>
      <w:numFmt w:val="bullet"/>
      <w:lvlText w:val="▪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45B64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2E617A">
      <w:start w:val="1"/>
      <w:numFmt w:val="bullet"/>
      <w:lvlText w:val="o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EE3BF2">
      <w:start w:val="1"/>
      <w:numFmt w:val="bullet"/>
      <w:lvlText w:val="▪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CA"/>
    <w:rsid w:val="005942CA"/>
    <w:rsid w:val="0081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3896A-EA7F-4778-B82D-9291AB62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48" w:lineRule="auto"/>
      <w:ind w:left="10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82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2" w:hanging="10"/>
      <w:outlineLvl w:val="1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1948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Gianleo Frisari_resume_2016</vt:lpstr>
    </vt:vector>
  </TitlesOfParts>
  <Company/>
  <LinksUpToDate>false</LinksUpToDate>
  <CharactersWithSpaces>13029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Gianleo Frisari_resume_2016</dc:title>
  <dc:subject/>
  <dc:creator>Gianleo Frisari</dc:creator>
  <cp:keywords/>
  <cp:lastModifiedBy>Ruchi  Agarwal</cp:lastModifiedBy>
  <cp:revision>2</cp:revision>
  <dcterms:created xsi:type="dcterms:W3CDTF">2017-05-11T06:26:00Z</dcterms:created>
  <dcterms:modified xsi:type="dcterms:W3CDTF">2017-05-11T06:26:00Z</dcterms:modified>
</cp:coreProperties>
</file>