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egoe UI" w:hAnsi="Segoe UI"/>
          <w:b/>
          <w:color w:val="B92721"/>
          <w:sz w:val="30"/>
        </w:rPr>
        <w:t>UNIVERSIAPOLIS</w:t>
      </w:r>
      <w:r>
        <w:rPr>
          <w:rFonts w:ascii="Segoe UI" w:hAnsi="Segoe UI"/>
          <w:b/>
          <w:color w:val="2F3874"/>
          <w:sz w:val="23"/>
        </w:rPr>
        <w:t xml:space="preserve">  |  ÉCOLE POLYTECHNIQUE D'AGADIR</w:t>
        <w:br/>
      </w:r>
      <w:r>
        <w:rPr>
          <w:rFonts w:ascii="Segoe UI" w:hAnsi="Segoe UI"/>
          <w:b/>
          <w:color w:val="64748B"/>
          <w:sz w:val="20"/>
        </w:rPr>
        <w:t>DEPARTEMENT GENIE INFORMATIQUE — FAB LAB UNIVERSIAPOLIS</w:t>
      </w:r>
    </w:p>
    <w:p>
      <w:pPr>
        <w:spacing w:before="120" w:after="560"/>
        <w:pBdr>
          <w:bottom w:val="single" w:sz="18" w:space="1" w:color="B92721"/>
        </w:pBdr>
      </w:pPr>
    </w:p>
    <w:p>
      <w:pPr>
        <w:spacing w:before="320" w:after="440"/>
        <w:jc w:val="center"/>
      </w:pPr>
      <w:r>
        <w:rPr>
          <w:rFonts w:ascii="Segoe UI" w:hAnsi="Segoe UI"/>
          <w:b/>
          <w:color w:val="2F3874"/>
          <w:sz w:val="56"/>
        </w:rPr>
        <w:t>RAPPORT DE STAGE TECHNICIEN</w:t>
      </w:r>
    </w:p>
    <w:tbl>
      <w:tblPr>
        <w:tblW w:type="auto" w:w="0"/>
        <w:jc w:val="center"/>
        <w:tblLook w:firstColumn="1" w:firstRow="1" w:lastColumn="0" w:lastRow="0" w:noHBand="0" w:noVBand="1" w:val="04A0"/>
        <w:tblBorders>
          <w:top w:val="single" w:sz="12" w:space="0" w:color="B92721"/>
          <w:bottom w:val="single" w:sz="12" w:space="0" w:color="B92721"/>
          <w:left w:val="single" w:sz="24" w:space="0" w:color="2F3874"/>
          <w:right w:val="single" w:sz="12" w:space="0" w:color="B92721"/>
        </w:tblBorders>
      </w:tblPr>
      <w:tblGrid>
        <w:gridCol w:w="9418"/>
      </w:tblGrid>
      <w:tr>
        <w:tc>
          <w:tcPr>
            <w:tcW w:type="dxa" w:w="9418"/>
            <w:shd w:fill="F8FAFC"/>
            <w:tcMar>
              <w:top w:w="180" w:type="dxa"/>
              <w:bottom w:w="180" w:type="dxa"/>
              <w:left w:w="220" w:type="dxa"/>
              <w:right w:w="220" w:type="dxa"/>
            </w:tcMar>
          </w:tcPr>
          <w:p>
            <w:pPr>
              <w:jc w:val="left"/>
            </w:pPr>
            <w:r>
              <w:rPr>
                <w:rFonts w:ascii="Segoe UI" w:hAnsi="Segoe UI"/>
                <w:b/>
                <w:color w:val="B92721"/>
                <w:sz w:val="24"/>
              </w:rPr>
              <w:t xml:space="preserve">Sujet du stage :  </w:t>
              <w:br/>
            </w:r>
            <w:r>
              <w:rPr>
                <w:rFonts w:ascii="Segoe UI" w:hAnsi="Segoe UI"/>
                <w:b/>
                <w:color w:val="2F3874"/>
                <w:sz w:val="26"/>
              </w:rPr>
              <w:t>CONCEPTION ET DÉVELOPPEMENT D’UNE SOLUTION DE GESTION DE MAINTENANCE ASSISTÉE PAR ORDINATEUR (GMAO) POUR LE FAB LAB UNIVERSIAPOLIS</w:t>
            </w:r>
          </w:p>
        </w:tc>
      </w:tr>
    </w:tbl>
    <w:p>
      <w:pPr>
        <w:spacing w:after="480"/>
      </w:pPr>
    </w:p>
    <w:tbl>
      <w:tblPr>
        <w:tblW w:type="auto" w:w="0"/>
        <w:jc w:val="center"/>
        <w:tblLook w:firstColumn="1" w:firstRow="1" w:lastColumn="0" w:lastRow="0" w:noHBand="0" w:noVBand="1" w:val="04A0"/>
        <w:tblBorders>
          <w:top w:val="single" w:sz="6" w:space="0" w:color="2F3874"/>
          <w:bottom w:val="single" w:sz="6" w:space="0" w:color="2F3874"/>
          <w:left w:val="single" w:sz="6" w:space="0" w:color="2F3874"/>
          <w:right w:val="single" w:sz="6" w:space="0" w:color="2F3874"/>
          <w:insideH w:val="single" w:sz="6" w:space="0" w:color="2F3874"/>
          <w:insideV w:val="single" w:sz="6" w:space="0" w:color="2F3874"/>
        </w:tblBorders>
      </w:tblPr>
      <w:tblGrid>
        <w:gridCol w:w="4709"/>
        <w:gridCol w:w="4709"/>
      </w:tblGrid>
      <w:tr>
        <w:tc>
          <w:tcPr>
            <w:tcW w:type="dxa" w:w="3168"/>
            <w:shd w:fill="F1F5F9"/>
            <w:tcMar>
              <w:top w:w="110" w:type="dxa"/>
              <w:bottom w:w="110" w:type="dxa"/>
              <w:left w:w="150" w:type="dxa"/>
              <w:right w:w="150" w:type="dxa"/>
            </w:tcMar>
          </w:tcPr>
          <w:p>
            <w:pPr>
              <w:spacing w:before="120" w:after="120"/>
              <w:jc w:val="left"/>
            </w:pPr>
            <w:r>
              <w:rPr>
                <w:rFonts w:ascii="Segoe UI" w:hAnsi="Segoe UI"/>
                <w:b/>
                <w:color w:val="B92721"/>
                <w:sz w:val="22"/>
              </w:rPr>
              <w:t>Organisme d'accueil</w:t>
            </w:r>
          </w:p>
        </w:tc>
        <w:tc>
          <w:tcPr>
            <w:tcW w:type="dxa" w:w="6192"/>
            <w:shd w:fill="F1F5F9"/>
            <w:tcMar>
              <w:top w:w="110" w:type="dxa"/>
              <w:bottom w:w="110" w:type="dxa"/>
              <w:left w:w="150" w:type="dxa"/>
              <w:right w:w="150" w:type="dxa"/>
            </w:tcMar>
          </w:tcPr>
          <w:p>
            <w:pPr>
              <w:spacing w:before="120" w:after="120"/>
              <w:jc w:val="left"/>
            </w:pPr>
            <w:r>
              <w:rPr>
                <w:rFonts w:ascii="Calibri" w:hAnsi="Calibri"/>
                <w:b/>
                <w:color w:val="2F3874"/>
                <w:sz w:val="22"/>
              </w:rPr>
              <w:t>Fab Lab Universiapolis, Agadir</w:t>
            </w:r>
          </w:p>
        </w:tc>
      </w:tr>
      <w:tr>
        <w:tc>
          <w:tcPr>
            <w:tcW w:type="dxa" w:w="3168"/>
            <w:shd w:fill="FFFFFF"/>
            <w:tcMar>
              <w:top w:w="110" w:type="dxa"/>
              <w:bottom w:w="110" w:type="dxa"/>
              <w:left w:w="150" w:type="dxa"/>
              <w:right w:w="150" w:type="dxa"/>
            </w:tcMar>
          </w:tcPr>
          <w:p>
            <w:pPr>
              <w:spacing w:before="120" w:after="120"/>
              <w:jc w:val="left"/>
            </w:pPr>
            <w:r>
              <w:rPr>
                <w:rFonts w:ascii="Segoe UI" w:hAnsi="Segoe UI"/>
                <w:b/>
                <w:color w:val="B92721"/>
                <w:sz w:val="22"/>
              </w:rPr>
              <w:t>Filière</w:t>
            </w:r>
          </w:p>
        </w:tc>
        <w:tc>
          <w:tcPr>
            <w:tcW w:type="dxa" w:w="6192"/>
            <w:shd w:fill="FFFFFF"/>
            <w:tcMar>
              <w:top w:w="110" w:type="dxa"/>
              <w:bottom w:w="110" w:type="dxa"/>
              <w:left w:w="150" w:type="dxa"/>
              <w:right w:w="150" w:type="dxa"/>
            </w:tcMar>
          </w:tcPr>
          <w:p>
            <w:pPr>
              <w:spacing w:before="120" w:after="120"/>
              <w:jc w:val="left"/>
            </w:pPr>
            <w:r>
              <w:rPr>
                <w:rFonts w:ascii="Calibri" w:hAnsi="Calibri"/>
                <w:b/>
                <w:color w:val="2F3874"/>
                <w:sz w:val="22"/>
              </w:rPr>
              <w:t>Génie Informatique</w:t>
            </w:r>
          </w:p>
        </w:tc>
      </w:tr>
      <w:tr>
        <w:tc>
          <w:tcPr>
            <w:tcW w:type="dxa" w:w="3168"/>
            <w:shd w:fill="F1F5F9"/>
            <w:tcMar>
              <w:top w:w="110" w:type="dxa"/>
              <w:bottom w:w="110" w:type="dxa"/>
              <w:left w:w="150" w:type="dxa"/>
              <w:right w:w="150" w:type="dxa"/>
            </w:tcMar>
          </w:tcPr>
          <w:p>
            <w:pPr>
              <w:spacing w:before="120" w:after="120"/>
              <w:jc w:val="left"/>
            </w:pPr>
            <w:r>
              <w:rPr>
                <w:rFonts w:ascii="Segoe UI" w:hAnsi="Segoe UI"/>
                <w:b/>
                <w:color w:val="B92721"/>
                <w:sz w:val="22"/>
              </w:rPr>
              <w:t>Type de Stage</w:t>
            </w:r>
          </w:p>
        </w:tc>
        <w:tc>
          <w:tcPr>
            <w:tcW w:type="dxa" w:w="6192"/>
            <w:shd w:fill="F1F5F9"/>
            <w:tcMar>
              <w:top w:w="110" w:type="dxa"/>
              <w:bottom w:w="110" w:type="dxa"/>
              <w:left w:w="150" w:type="dxa"/>
              <w:right w:w="150" w:type="dxa"/>
            </w:tcMar>
          </w:tcPr>
          <w:p>
            <w:pPr>
              <w:spacing w:before="120" w:after="120"/>
              <w:jc w:val="left"/>
            </w:pPr>
            <w:r>
              <w:rPr>
                <w:rFonts w:ascii="Calibri" w:hAnsi="Calibri"/>
                <w:b/>
                <w:color w:val="2F3874"/>
                <w:sz w:val="22"/>
              </w:rPr>
              <w:t>Stage Technicien</w:t>
            </w:r>
          </w:p>
        </w:tc>
      </w:tr>
      <w:tr>
        <w:tc>
          <w:tcPr>
            <w:tcW w:type="dxa" w:w="3168"/>
            <w:shd w:fill="FFFFFF"/>
            <w:tcMar>
              <w:top w:w="110" w:type="dxa"/>
              <w:bottom w:w="110" w:type="dxa"/>
              <w:left w:w="150" w:type="dxa"/>
              <w:right w:w="150" w:type="dxa"/>
            </w:tcMar>
          </w:tcPr>
          <w:p>
            <w:pPr>
              <w:spacing w:before="120" w:after="120"/>
              <w:jc w:val="left"/>
            </w:pPr>
            <w:r>
              <w:rPr>
                <w:rFonts w:ascii="Segoe UI" w:hAnsi="Segoe UI"/>
                <w:b/>
                <w:color w:val="B92721"/>
                <w:sz w:val="22"/>
              </w:rPr>
              <w:t>Réalisé par</w:t>
            </w:r>
          </w:p>
        </w:tc>
        <w:tc>
          <w:tcPr>
            <w:tcW w:type="dxa" w:w="6192"/>
            <w:shd w:fill="FFFFFF"/>
            <w:tcMar>
              <w:top w:w="110" w:type="dxa"/>
              <w:bottom w:w="110" w:type="dxa"/>
              <w:left w:w="150" w:type="dxa"/>
              <w:right w:w="150" w:type="dxa"/>
            </w:tcMar>
          </w:tcPr>
          <w:p>
            <w:pPr>
              <w:spacing w:before="120" w:after="120"/>
              <w:jc w:val="left"/>
            </w:pPr>
            <w:r>
              <w:rPr>
                <w:rFonts w:ascii="Calibri" w:hAnsi="Calibri"/>
                <w:b/>
                <w:color w:val="2F3874"/>
                <w:sz w:val="22"/>
              </w:rPr>
              <w:t>MOHAMMED AICHOUR</w:t>
            </w:r>
          </w:p>
        </w:tc>
      </w:tr>
      <w:tr>
        <w:tc>
          <w:tcPr>
            <w:tcW w:type="dxa" w:w="3168"/>
            <w:shd w:fill="F1F5F9"/>
            <w:tcMar>
              <w:top w:w="110" w:type="dxa"/>
              <w:bottom w:w="110" w:type="dxa"/>
              <w:left w:w="150" w:type="dxa"/>
              <w:right w:w="150" w:type="dxa"/>
            </w:tcMar>
          </w:tcPr>
          <w:p>
            <w:pPr>
              <w:spacing w:before="120" w:after="120"/>
              <w:jc w:val="left"/>
            </w:pPr>
            <w:r>
              <w:rPr>
                <w:rFonts w:ascii="Segoe UI" w:hAnsi="Segoe UI"/>
                <w:b/>
                <w:color w:val="B92721"/>
                <w:sz w:val="22"/>
              </w:rPr>
              <w:t>Encadrant de stage</w:t>
            </w:r>
          </w:p>
        </w:tc>
        <w:tc>
          <w:tcPr>
            <w:tcW w:type="dxa" w:w="6192"/>
            <w:shd w:fill="F1F5F9"/>
            <w:tcMar>
              <w:top w:w="110" w:type="dxa"/>
              <w:bottom w:w="110" w:type="dxa"/>
              <w:left w:w="150" w:type="dxa"/>
              <w:right w:w="150" w:type="dxa"/>
            </w:tcMar>
          </w:tcPr>
          <w:p>
            <w:pPr>
              <w:spacing w:before="120" w:after="120"/>
              <w:jc w:val="left"/>
            </w:pPr>
            <w:r>
              <w:rPr>
                <w:rFonts w:ascii="Calibri" w:hAnsi="Calibri"/>
                <w:b/>
                <w:color w:val="2F3874"/>
                <w:sz w:val="22"/>
              </w:rPr>
              <w:t>M. KIBBOU El Mehdi</w:t>
            </w:r>
          </w:p>
        </w:tc>
      </w:tr>
      <w:tr>
        <w:tc>
          <w:tcPr>
            <w:tcW w:type="dxa" w:w="3168"/>
            <w:shd w:fill="FFFFFF"/>
            <w:tcMar>
              <w:top w:w="110" w:type="dxa"/>
              <w:bottom w:w="110" w:type="dxa"/>
              <w:left w:w="150" w:type="dxa"/>
              <w:right w:w="150" w:type="dxa"/>
            </w:tcMar>
          </w:tcPr>
          <w:p>
            <w:pPr>
              <w:spacing w:before="120" w:after="120"/>
              <w:jc w:val="left"/>
            </w:pPr>
            <w:r>
              <w:rPr>
                <w:rFonts w:ascii="Segoe UI" w:hAnsi="Segoe UI"/>
                <w:b/>
                <w:color w:val="B92721"/>
                <w:sz w:val="22"/>
              </w:rPr>
              <w:t>Période de stage</w:t>
            </w:r>
          </w:p>
        </w:tc>
        <w:tc>
          <w:tcPr>
            <w:tcW w:type="dxa" w:w="6192"/>
            <w:shd w:fill="FFFFFF"/>
            <w:tcMar>
              <w:top w:w="110" w:type="dxa"/>
              <w:bottom w:w="110" w:type="dxa"/>
              <w:left w:w="150" w:type="dxa"/>
              <w:right w:w="150" w:type="dxa"/>
            </w:tcMar>
          </w:tcPr>
          <w:p>
            <w:pPr>
              <w:spacing w:before="120" w:after="120"/>
              <w:jc w:val="left"/>
            </w:pPr>
            <w:r>
              <w:rPr>
                <w:rFonts w:ascii="Calibri" w:hAnsi="Calibri"/>
                <w:b/>
                <w:color w:val="2F3874"/>
                <w:sz w:val="22"/>
              </w:rPr>
              <w:t>10 juillet 2026 – 21 août 2026 (6 semaines)</w:t>
            </w:r>
          </w:p>
        </w:tc>
      </w:tr>
    </w:tbl>
    <w:p>
      <w:pPr>
        <w:spacing w:before="720" w:after="0"/>
        <w:jc w:val="right"/>
      </w:pPr>
      <w:r>
        <w:rPr>
          <w:rFonts w:ascii="Segoe UI" w:hAnsi="Segoe UI"/>
          <w:b/>
          <w:color w:val="B92721"/>
          <w:sz w:val="25"/>
        </w:rPr>
        <w:t>Année universitaire : 2025 – 2026</w:t>
      </w:r>
    </w:p>
    <w:p>
      <w:r>
        <w:br w:type="page"/>
      </w:r>
    </w:p>
    <w:p>
      <w:pPr>
        <w:spacing w:before="320" w:after="120"/>
      </w:pPr>
      <w:r>
        <w:rPr>
          <w:rFonts w:ascii="Segoe UI" w:hAnsi="Segoe UI"/>
          <w:b/>
          <w:color w:val="B92721"/>
          <w:sz w:val="27"/>
        </w:rPr>
        <w:t>DEPARTEMENT GENIE INFORMATIQUE</w:t>
      </w:r>
    </w:p>
    <w:p>
      <w:pPr>
        <w:spacing w:before="240" w:after="80"/>
      </w:pPr>
      <w:r>
        <w:rPr>
          <w:rFonts w:ascii="Segoe UI" w:hAnsi="Segoe UI"/>
          <w:b/>
          <w:color w:val="2F3874"/>
          <w:sz w:val="23"/>
        </w:rPr>
        <w:t>**Sujet : Conception et Développement d’une Solution de Gestion de Maintenance Assistée par Ordinateur (GMAO) pour le Fab Lab Universiapolis**</w:t>
      </w:r>
    </w:p>
    <w:p>
      <w:pPr>
        <w:spacing w:before="40" w:after="100" w:line="276" w:lineRule="auto"/>
      </w:pPr>
      <w:r>
        <w:rPr>
          <w:b/>
        </w:rPr>
        <w:t>Réalisé par :</w:t>
      </w:r>
      <w:r>
        <w:t xml:space="preserve"> Mohammed Aichour  </w:t>
      </w:r>
    </w:p>
    <w:p>
      <w:pPr>
        <w:spacing w:before="40" w:after="100" w:line="276" w:lineRule="auto"/>
      </w:pPr>
      <w:r>
        <w:rPr>
          <w:b/>
        </w:rPr>
        <w:t>Filière :</w:t>
      </w:r>
      <w:r>
        <w:t xml:space="preserve"> Génie Informatique  </w:t>
      </w:r>
    </w:p>
    <w:p>
      <w:pPr>
        <w:spacing w:before="40" w:after="100" w:line="276" w:lineRule="auto"/>
      </w:pPr>
      <w:r>
        <w:rPr>
          <w:b/>
        </w:rPr>
        <w:t>Type de stage :</w:t>
      </w:r>
      <w:r>
        <w:t xml:space="preserve"> Stage Technicien  </w:t>
      </w:r>
    </w:p>
    <w:p>
      <w:pPr>
        <w:spacing w:before="40" w:after="100" w:line="276" w:lineRule="auto"/>
      </w:pPr>
      <w:r>
        <w:rPr>
          <w:b/>
        </w:rPr>
        <w:t>Année universitaire :</w:t>
      </w:r>
      <w:r>
        <w:t xml:space="preserve"> 2025–2026  </w:t>
      </w:r>
    </w:p>
    <w:p>
      <w:pPr>
        <w:spacing w:before="40" w:after="100" w:line="276" w:lineRule="auto"/>
      </w:pPr>
      <w:r>
        <w:rPr>
          <w:b/>
        </w:rPr>
        <w:t>Encadrant de stage :</w:t>
      </w:r>
      <w:r>
        <w:t xml:space="preserve"> M. El Mehdi KIBBOU  </w:t>
      </w:r>
    </w:p>
    <w:p>
      <w:pPr>
        <w:spacing w:before="40" w:after="100" w:line="276" w:lineRule="auto"/>
      </w:pPr>
      <w:r>
        <w:rPr>
          <w:b/>
        </w:rPr>
        <w:t>Organisme d’accueil :</w:t>
      </w:r>
      <w:r>
        <w:t xml:space="preserve"> Fab Lab Universiapolis, Agadir  </w:t>
      </w:r>
    </w:p>
    <w:p>
      <w:pPr>
        <w:spacing w:before="40" w:after="100" w:line="276" w:lineRule="auto"/>
      </w:pPr>
      <w:r>
        <w:rPr>
          <w:b/>
        </w:rPr>
        <w:t>Période du stage :</w:t>
      </w:r>
      <w:r>
        <w:t xml:space="preserve"> Du 10 juillet 2026 au 21 août 2026 (6 semaines)  </w:t>
      </w:r>
    </w:p>
    <w:p>
      <w:pPr>
        <w:spacing w:before="40" w:after="100" w:line="276" w:lineRule="auto"/>
      </w:pPr>
      <w:r>
        <w:rPr>
          <w:b/>
        </w:rPr>
        <w:t>Lieu :</w:t>
      </w:r>
      <w:r>
        <w:t xml:space="preserve"> Agadir, Maroc  </w:t>
      </w:r>
    </w:p>
    <w:p>
      <w:pPr>
        <w:spacing w:before="320" w:after="120"/>
      </w:pPr>
      <w:r>
        <w:rPr>
          <w:rFonts w:ascii="Segoe UI" w:hAnsi="Segoe UI"/>
          <w:b/>
          <w:color w:val="B92721"/>
          <w:sz w:val="27"/>
        </w:rPr>
        <w:t>REMERCIEMENTS</w:t>
      </w:r>
    </w:p>
    <w:p>
      <w:pPr>
        <w:spacing w:before="40" w:after="100" w:line="276" w:lineRule="auto"/>
      </w:pPr>
      <w:r>
        <w:t>Je tiens à exprimer mes sincères remerciements à toutes les personnes qui m'ont accompagné et soutenu durant ce stage technicien au sein du Fab Lab Universiapolis.</w:t>
      </w:r>
    </w:p>
    <w:p>
      <w:pPr>
        <w:spacing w:before="40" w:after="100" w:line="276" w:lineRule="auto"/>
      </w:pPr>
      <w:r>
        <w:t xml:space="preserve">Tout d'abord, j'adresse mes remerciements les plus chaleureux à mon encadrant de stage, </w:t>
      </w:r>
      <w:r>
        <w:rPr>
          <w:b/>
        </w:rPr>
        <w:t>M. El Mehdi KIBBOU</w:t>
      </w:r>
      <w:r>
        <w:t>, pour la confiance qu'il m'a accordée, sa disponibilité permanente, ses conseils techniques et son suivi rigoureux durant toute la durée de cette mission.</w:t>
      </w:r>
    </w:p>
    <w:p>
      <w:pPr>
        <w:spacing w:before="40" w:after="100" w:line="276" w:lineRule="auto"/>
      </w:pPr>
      <w:r>
        <w:t>Je remercie également l'équipe enseignante et administrative de l'</w:t>
      </w:r>
      <w:r>
        <w:rPr>
          <w:b/>
        </w:rPr>
        <w:t>École Polytechnique d'Universiapolis Agadir</w:t>
      </w:r>
      <w:r>
        <w:t xml:space="preserve"> pour la qualité de la formation dispensée en Génie Informatique, qui m'a permis d'acquérir les compétences nécessaires pour mener à bien les travaux qui m'ont été confiés.</w:t>
      </w:r>
    </w:p>
    <w:p>
      <w:pPr>
        <w:spacing w:before="40" w:after="100" w:line="276" w:lineRule="auto"/>
      </w:pPr>
      <w:r>
        <w:t xml:space="preserve">Enfin, je remercie l'ensemble de l'équipe technique du </w:t>
      </w:r>
      <w:r>
        <w:rPr>
          <w:b/>
        </w:rPr>
        <w:t>Fab Lab Universiapolis</w:t>
      </w:r>
      <w:r>
        <w:t xml:space="preserve"> pour leur accueil chaleureux, leur collaboration et le partage de leur expérience sur le fonctionnement pratique du parc d'équipements et la gestion quotidienne des travaux de maintenance.</w:t>
      </w:r>
    </w:p>
    <w:p>
      <w:pPr>
        <w:spacing w:before="320" w:after="120"/>
      </w:pPr>
      <w:r>
        <w:rPr>
          <w:rFonts w:ascii="Segoe UI" w:hAnsi="Segoe UI"/>
          <w:b/>
          <w:color w:val="B92721"/>
          <w:sz w:val="27"/>
        </w:rPr>
        <w:t>RÉSUMÉ</w:t>
      </w:r>
    </w:p>
    <w:p>
      <w:pPr>
        <w:spacing w:before="40" w:after="100" w:line="276" w:lineRule="auto"/>
      </w:pPr>
      <w:r>
        <w:t xml:space="preserve">Dans le cadre de mon stage technicien de six semaines effectué au </w:t>
      </w:r>
      <w:r>
        <w:rPr>
          <w:b/>
        </w:rPr>
        <w:t>Fab Lab Universiapolis – École Polytechnique d'Agadir</w:t>
      </w:r>
      <w:r>
        <w:t xml:space="preserve">, j'ai travaillé sur la conception et le développement d'une application web de </w:t>
      </w:r>
      <w:r>
        <w:rPr>
          <w:b/>
        </w:rPr>
        <w:t>Gestion de Maintenance Assistée par Ordinateur (GMAO)</w:t>
      </w:r>
      <w:r>
        <w:t xml:space="preserve">, baptisée </w:t>
      </w:r>
      <w:r>
        <w:rPr>
          <w:b/>
        </w:rPr>
        <w:t>GMA LAB</w:t>
      </w:r>
      <w:r>
        <w:t>.</w:t>
      </w:r>
    </w:p>
    <w:p>
      <w:pPr>
        <w:spacing w:before="40" w:after="100" w:line="276" w:lineRule="auto"/>
      </w:pPr>
      <w:r>
        <w:t>Le Fab Lab Universiapolis gère un parc d'équipements technologiques varié (fraiseuses CNC, imprimantes 3D FDM/SLA/E2CF, découpeuses laser CO2, systèmes d'aspiration et utilités). Avant mon intervention, le suivi des machines, des interventions et du stock de pièces de rechange s'effectuait manuellement via des fichiers Excel séparés, ce qui causait des pertes de temps, des erreurs de saisie et un manque de visibilité sur l'état du matériel.</w:t>
      </w:r>
    </w:p>
    <w:p>
      <w:pPr>
        <w:spacing w:before="40" w:after="100" w:line="276" w:lineRule="auto"/>
      </w:pPr>
      <w:r>
        <w:t xml:space="preserve">L'objectif de ma mission était de développer une solution informatique centralisée et facile à utiliser. Pour répondre à ce besoin, j'ai conçu et développé une application web moderne s'appuyant sur </w:t>
      </w:r>
      <w:r>
        <w:rPr>
          <w:b/>
        </w:rPr>
        <w:t>React 19</w:t>
      </w:r>
      <w:r>
        <w:t xml:space="preserve">, </w:t>
      </w:r>
      <w:r>
        <w:rPr>
          <w:b/>
        </w:rPr>
        <w:t>TypeScript</w:t>
      </w:r>
      <w:r>
        <w:t xml:space="preserve">, </w:t>
      </w:r>
      <w:r>
        <w:rPr>
          <w:b/>
        </w:rPr>
        <w:t>Vite</w:t>
      </w:r>
      <w:r>
        <w:t xml:space="preserve">, </w:t>
      </w:r>
      <w:r>
        <w:rPr>
          <w:b/>
        </w:rPr>
        <w:t>Tailwind CSS</w:t>
      </w:r>
      <w:r>
        <w:t xml:space="preserve">, </w:t>
      </w:r>
      <w:r>
        <w:rPr>
          <w:b/>
        </w:rPr>
        <w:t>Recharts</w:t>
      </w:r>
      <w:r>
        <w:t xml:space="preserve"> et </w:t>
      </w:r>
      <w:r>
        <w:rPr>
          <w:b/>
        </w:rPr>
        <w:t>TanStack Query</w:t>
      </w:r>
      <w:r>
        <w:t xml:space="preserve"> pour la partie interface utilisateur (Frontend), et sur une API </w:t>
      </w:r>
      <w:r>
        <w:rPr>
          <w:b/>
        </w:rPr>
        <w:t>Node.js / Express</w:t>
      </w:r>
      <w:r>
        <w:t xml:space="preserve"> avec l'ORM </w:t>
      </w:r>
      <w:r>
        <w:rPr>
          <w:b/>
        </w:rPr>
        <w:t>Prisma</w:t>
      </w:r>
      <w:r>
        <w:t xml:space="preserve"> et une base de données </w:t>
      </w:r>
      <w:r>
        <w:rPr>
          <w:b/>
        </w:rPr>
        <w:t>SQLite</w:t>
      </w:r>
      <w:r>
        <w:t xml:space="preserve"> pour la partie serveur (Backend).</w:t>
      </w:r>
    </w:p>
    <w:p>
      <w:pPr>
        <w:spacing w:before="40" w:after="100" w:line="276" w:lineRule="auto"/>
      </w:pPr>
      <w:r>
        <w:t xml:space="preserve">Durant mon stage, j'ai formalisé la modélisation sous </w:t>
      </w:r>
      <w:r>
        <w:rPr>
          <w:b/>
        </w:rPr>
        <w:t>PowerAMC / PowerDesigner</w:t>
      </w:r>
      <w:r>
        <w:t xml:space="preserve"> (MCD Merise, MLD relationnel, diagrammes de cas d'utilisation, de classes, de séquence et de flux DFD). J'ai ensuite développé les fonctionnalités principales de l'application : un tableau de bord en temps réel affichant les indicateurs de maintenance (</w:t>
      </w:r>
      <w:r>
        <w:rPr>
          <w:b/>
        </w:rPr>
        <w:t>MTBF</w:t>
      </w:r>
      <w:r>
        <w:t xml:space="preserve">, </w:t>
      </w:r>
      <w:r>
        <w:rPr>
          <w:b/>
        </w:rPr>
        <w:t>MTTR</w:t>
      </w:r>
      <w:r>
        <w:t xml:space="preserve">, </w:t>
      </w:r>
      <w:r>
        <w:rPr>
          <w:b/>
        </w:rPr>
        <w:t>Taux de Disponibilité</w:t>
      </w:r>
      <w:r>
        <w:t>), le suivi du parc machines et de leur criticité ABC, la gestion des demandes d'intervention (DI), l'impression automatique des Bons de Travail (BT) au format PDF (</w:t>
      </w:r>
      <w:r>
        <w:rPr>
          <w:rFonts w:ascii="Consolas" w:hAnsi="Consolas"/>
          <w:color w:val="B92721"/>
          <w:sz w:val="20"/>
        </w:rPr>
        <w:t>pdf-lib</w:t>
      </w:r>
      <w:r>
        <w:t xml:space="preserve">), le suivi du stock de pièces de rechange avec alerte de seuil minimum, le répertoire des fournisseurs, la matrice d'analyse des risques </w:t>
      </w:r>
      <w:r>
        <w:rPr>
          <w:b/>
        </w:rPr>
        <w:t>AMDEC</w:t>
      </w:r>
      <w:r>
        <w:t>, le calendrier de maintenance préventive et la gestion documentaire (GED).</w:t>
      </w:r>
    </w:p>
    <w:p>
      <w:pPr>
        <w:spacing w:before="40" w:after="100" w:line="276" w:lineRule="auto"/>
      </w:pPr>
      <w:r>
        <w:t>Les tests fonctionnels et l'intégration des données réelles du laboratoire ont confirmé le bon fonctionnement de l'application, offrant au Fab Lab un outil simple, pratique et efficace pour optimiser le suivi et l'entretien de ses équipements.</w:t>
      </w:r>
    </w:p>
    <w:p>
      <w:pPr>
        <w:spacing w:before="40" w:after="100" w:line="276" w:lineRule="auto"/>
      </w:pPr>
      <w:r>
        <w:rPr>
          <w:b/>
        </w:rPr>
        <w:t>Mots-clés :</w:t>
      </w:r>
      <w:r>
        <w:t xml:space="preserve"> Stage Technicien, GMAO, Fab Lab, Universiapolis, Génie Informatique, PowerAMC, PowerDesigner, MCD, MLD, Maintenance Préventive et Corrective, React, TypeScript, Node.js, Prisma, AMDEC, KPIs, MTBF, MTTR.</w:t>
      </w:r>
    </w:p>
    <w:p>
      <w:pPr>
        <w:spacing w:before="320" w:after="120"/>
      </w:pPr>
      <w:r>
        <w:rPr>
          <w:rFonts w:ascii="Segoe UI" w:hAnsi="Segoe UI"/>
          <w:b/>
          <w:color w:val="B92721"/>
          <w:sz w:val="27"/>
        </w:rPr>
        <w:t>TABLE DES MATIÈRES</w:t>
      </w:r>
    </w:p>
    <w:p>
      <w:pPr>
        <w:pStyle w:val="ListNumber"/>
        <w:spacing w:before="20" w:after="60" w:line="276" w:lineRule="auto"/>
      </w:pPr>
      <w:r>
        <w:rPr>
          <w:b/>
        </w:rPr>
        <w:t>Page de garde</w:t>
      </w:r>
    </w:p>
    <w:p>
      <w:pPr>
        <w:pStyle w:val="ListNumber"/>
        <w:spacing w:before="20" w:after="60" w:line="276" w:lineRule="auto"/>
      </w:pPr>
      <w:r>
        <w:rPr>
          <w:b/>
        </w:rPr>
        <w:t>Remerciements</w:t>
      </w:r>
    </w:p>
    <w:p>
      <w:pPr>
        <w:pStyle w:val="ListNumber"/>
        <w:spacing w:before="20" w:after="60" w:line="276" w:lineRule="auto"/>
      </w:pPr>
      <w:r>
        <w:rPr>
          <w:b/>
        </w:rPr>
        <w:t>Résumé</w:t>
      </w:r>
    </w:p>
    <w:p>
      <w:pPr>
        <w:pStyle w:val="ListNumber"/>
        <w:spacing w:before="20" w:after="60" w:line="276" w:lineRule="auto"/>
      </w:pPr>
      <w:r>
        <w:rPr>
          <w:b/>
        </w:rPr>
        <w:t>Abstract</w:t>
      </w:r>
    </w:p>
    <w:p>
      <w:pPr>
        <w:pStyle w:val="ListNumber"/>
        <w:spacing w:before="20" w:after="60" w:line="276" w:lineRule="auto"/>
      </w:pPr>
      <w:r>
        <w:rPr>
          <w:b/>
        </w:rPr>
        <w:t>Table des matières</w:t>
      </w:r>
    </w:p>
    <w:p>
      <w:pPr>
        <w:pStyle w:val="ListNumber"/>
        <w:spacing w:before="20" w:after="60" w:line="276" w:lineRule="auto"/>
      </w:pPr>
      <w:r>
        <w:rPr>
          <w:b/>
        </w:rPr>
        <w:t>Liste des figures</w:t>
      </w:r>
    </w:p>
    <w:p>
      <w:pPr>
        <w:pStyle w:val="ListNumber"/>
        <w:spacing w:before="20" w:after="60" w:line="276" w:lineRule="auto"/>
      </w:pPr>
      <w:r>
        <w:rPr>
          <w:b/>
        </w:rPr>
        <w:t>Liste des tableaux</w:t>
      </w:r>
    </w:p>
    <w:p>
      <w:pPr>
        <w:pStyle w:val="ListNumber"/>
        <w:spacing w:before="20" w:after="60" w:line="276" w:lineRule="auto"/>
      </w:pPr>
      <w:r>
        <w:rPr>
          <w:b/>
        </w:rPr>
        <w:t>Introduction générale</w:t>
      </w:r>
    </w:p>
    <w:p>
      <w:pPr>
        <w:pStyle w:val="ListNumber"/>
        <w:spacing w:before="20" w:after="60" w:line="276" w:lineRule="auto"/>
      </w:pPr>
      <w:r>
        <w:rPr>
          <w:b/>
        </w:rPr>
        <w:t>Chapitre 1 — Présentation de l’organisme d’accueil et du Fab Lab</w:t>
      </w:r>
    </w:p>
    <w:p>
      <w:pPr>
        <w:pStyle w:val="ListBullet"/>
        <w:spacing w:before="20" w:after="60" w:line="276" w:lineRule="auto"/>
      </w:pPr>
      <w:r>
        <w:t>1.1 Présentation d'Universiapolis – Université Internationale d'Agadir</w:t>
      </w:r>
    </w:p>
    <w:p>
      <w:pPr>
        <w:pStyle w:val="ListBullet"/>
        <w:spacing w:before="20" w:after="60" w:line="276" w:lineRule="auto"/>
      </w:pPr>
      <w:r>
        <w:t>1.2 Présentation du Fablab Universiapolis</w:t>
      </w:r>
    </w:p>
    <w:p>
      <w:pPr>
        <w:pStyle w:val="ListBullet"/>
        <w:spacing w:before="20" w:after="60" w:line="276" w:lineRule="auto"/>
      </w:pPr>
      <w:r>
        <w:t>1.3 Missions et objectifs du Fablab Universiapolis</w:t>
      </w:r>
    </w:p>
    <w:p>
      <w:pPr>
        <w:pStyle w:val="ListBullet"/>
        <w:spacing w:before="20" w:after="60" w:line="276" w:lineRule="auto"/>
      </w:pPr>
      <w:r>
        <w:t>1.4 Cadre et environnement de mon stage</w:t>
      </w:r>
    </w:p>
    <w:p>
      <w:pPr>
        <w:pStyle w:val="ListNumber"/>
        <w:spacing w:before="20" w:after="60" w:line="276" w:lineRule="auto"/>
      </w:pPr>
      <w:r>
        <w:rPr>
          <w:b/>
        </w:rPr>
        <w:t>Chapitre 2 — Contexte du projet et étude de l'existant</w:t>
      </w:r>
    </w:p>
    <w:p>
      <w:pPr>
        <w:pStyle w:val="ListBullet"/>
        <w:spacing w:before="20" w:after="60" w:line="276" w:lineRule="auto"/>
      </w:pPr>
      <w:r>
        <w:t>2.1 Contexte du travail et besoins du laboratoire</w:t>
      </w:r>
    </w:p>
    <w:p>
      <w:pPr>
        <w:pStyle w:val="ListBullet"/>
        <w:spacing w:before="20" w:after="60" w:line="276" w:lineRule="auto"/>
      </w:pPr>
      <w:r>
        <w:t>2.2 Analyse pratique de l'existant (Fichiers Excel)</w:t>
      </w:r>
    </w:p>
    <w:p>
      <w:pPr>
        <w:pStyle w:val="ListBullet"/>
        <w:spacing w:before="20" w:after="60" w:line="276" w:lineRule="auto"/>
      </w:pPr>
      <w:r>
        <w:t>2.3 Présentation des équipements réels du laboratoire</w:t>
      </w:r>
    </w:p>
    <w:p>
      <w:pPr>
        <w:pStyle w:val="ListBullet"/>
        <w:spacing w:before="20" w:after="60" w:line="276" w:lineRule="auto"/>
      </w:pPr>
      <w:r>
        <w:t>2.4 Tableau comparatif (Situation initiale vs Problème vs Solution)</w:t>
      </w:r>
    </w:p>
    <w:p>
      <w:pPr>
        <w:pStyle w:val="ListBullet"/>
        <w:spacing w:before="20" w:after="60" w:line="276" w:lineRule="auto"/>
      </w:pPr>
      <w:r>
        <w:t>2.5 Problématique et missions confiées durant le stage</w:t>
      </w:r>
    </w:p>
    <w:p>
      <w:pPr>
        <w:pStyle w:val="ListBullet"/>
        <w:spacing w:before="20" w:after="60" w:line="276" w:lineRule="auto"/>
      </w:pPr>
      <w:r>
        <w:t>2.6 Objectifs opérationnels de l'application</w:t>
      </w:r>
    </w:p>
    <w:p>
      <w:pPr>
        <w:pStyle w:val="ListNumber"/>
        <w:spacing w:before="20" w:after="60" w:line="276" w:lineRule="auto"/>
      </w:pPr>
      <w:r>
        <w:rPr>
          <w:b/>
        </w:rPr>
        <w:t>Chapitre 3 — Analyse et modélisation du système (PowerAMC / PowerDesigner)</w:t>
      </w:r>
    </w:p>
    <w:p>
      <w:pPr>
        <w:pStyle w:val="ListBullet"/>
        <w:spacing w:before="20" w:after="60" w:line="276" w:lineRule="auto"/>
      </w:pPr>
      <w:r>
        <w:t>3.1 Démarche de travail et étapes de réalisation</w:t>
      </w:r>
    </w:p>
    <w:p>
      <w:pPr>
        <w:pStyle w:val="ListBullet"/>
        <w:spacing w:before="20" w:after="60" w:line="276" w:lineRule="auto"/>
      </w:pPr>
      <w:r>
        <w:t>3.2 PowerAMC — Modèle Conceptuel de Données (MCD Merise)</w:t>
      </w:r>
    </w:p>
    <w:p>
      <w:pPr>
        <w:pStyle w:val="ListBullet"/>
        <w:spacing w:before="20" w:after="60" w:line="276" w:lineRule="auto"/>
      </w:pPr>
      <w:r>
        <w:t>3.3 PowerAMC — Modèle Logique de Données (MLD Relationnel)</w:t>
      </w:r>
    </w:p>
    <w:p>
      <w:pPr>
        <w:pStyle w:val="ListBullet"/>
        <w:spacing w:before="20" w:after="60" w:line="276" w:lineRule="auto"/>
      </w:pPr>
      <w:r>
        <w:t>3.4 PowerAMC — Diagramme de Classes UML</w:t>
      </w:r>
    </w:p>
    <w:p>
      <w:pPr>
        <w:pStyle w:val="ListBullet"/>
        <w:spacing w:before="20" w:after="60" w:line="276" w:lineRule="auto"/>
      </w:pPr>
      <w:r>
        <w:t>3.5 PowerAMC — Diagramme de Cas d'Utilisation UML</w:t>
      </w:r>
    </w:p>
    <w:p>
      <w:pPr>
        <w:pStyle w:val="ListBullet"/>
        <w:spacing w:before="20" w:after="60" w:line="276" w:lineRule="auto"/>
      </w:pPr>
      <w:r>
        <w:t>3.6 PowerAMC — Diagramme de Séquence Système</w:t>
      </w:r>
    </w:p>
    <w:p>
      <w:pPr>
        <w:pStyle w:val="ListBullet"/>
        <w:spacing w:before="20" w:after="60" w:line="276" w:lineRule="auto"/>
      </w:pPr>
      <w:r>
        <w:t>3.7 PowerAMC — Diagramme de Flux de Données (DFD / Architecture Fonctionnelle)</w:t>
      </w:r>
    </w:p>
    <w:p>
      <w:pPr>
        <w:pStyle w:val="ListBullet"/>
        <w:spacing w:before="20" w:after="60" w:line="276" w:lineRule="auto"/>
      </w:pPr>
      <w:r>
        <w:t>3.8 Architecture technique globale de la solution</w:t>
      </w:r>
    </w:p>
    <w:p>
      <w:pPr>
        <w:pStyle w:val="ListNumber"/>
        <w:spacing w:before="20" w:after="60" w:line="276" w:lineRule="auto"/>
      </w:pPr>
      <w:r>
        <w:rPr>
          <w:b/>
        </w:rPr>
        <w:t>Chapitre 4 — Développement et architecture technique de l'application</w:t>
      </w:r>
    </w:p>
    <w:p>
      <w:pPr>
        <w:pStyle w:val="ListBullet"/>
        <w:spacing w:before="20" w:after="60" w:line="276" w:lineRule="auto"/>
      </w:pPr>
      <w:r>
        <w:t>4.1 Technologies et outils de développement utilisés</w:t>
      </w:r>
    </w:p>
    <w:p>
      <w:pPr>
        <w:pStyle w:val="ListBullet"/>
        <w:spacing w:before="20" w:after="60" w:line="276" w:lineRule="auto"/>
      </w:pPr>
      <w:r>
        <w:t>4.2 Structure des modules et synchronisation des données</w:t>
      </w:r>
    </w:p>
    <w:p>
      <w:pPr>
        <w:pStyle w:val="ListBullet"/>
        <w:spacing w:before="20" w:after="60" w:line="276" w:lineRule="auto"/>
      </w:pPr>
      <w:r>
        <w:t>4.3 Intégration et structuration des données Excel dans la base de données</w:t>
      </w:r>
    </w:p>
    <w:p>
      <w:pPr>
        <w:pStyle w:val="ListNumber"/>
        <w:spacing w:before="20" w:after="60" w:line="276" w:lineRule="auto"/>
      </w:pPr>
      <w:r>
        <w:rPr>
          <w:b/>
        </w:rPr>
        <w:t>Chapitre 5 — Tests fonctionnels et difficultés rencontrées</w:t>
      </w:r>
    </w:p>
    <w:p>
      <w:pPr>
        <w:pStyle w:val="ListBullet"/>
        <w:spacing w:before="20" w:after="60" w:line="276" w:lineRule="auto"/>
      </w:pPr>
      <w:r>
        <w:t>5.1 Validation fonctionnelle et cahier de recette des tests</w:t>
      </w:r>
    </w:p>
    <w:p>
      <w:pPr>
        <w:pStyle w:val="ListBullet"/>
        <w:spacing w:before="20" w:after="60" w:line="276" w:lineRule="auto"/>
      </w:pPr>
      <w:r>
        <w:t>5.2 Difficultés techniques rencontrées et solutions apportées</w:t>
      </w:r>
    </w:p>
    <w:p>
      <w:pPr>
        <w:pStyle w:val="ListNumber"/>
        <w:spacing w:before="20" w:after="60" w:line="276" w:lineRule="auto"/>
      </w:pPr>
      <w:r>
        <w:rPr>
          <w:b/>
        </w:rPr>
        <w:t>Chapitre 6 — Guide d'utilisation et démonstration pas-à-pas de l'application</w:t>
      </w:r>
    </w:p>
    <w:p>
      <w:pPr>
        <w:pStyle w:val="ListBullet"/>
        <w:spacing w:before="20" w:after="60" w:line="276" w:lineRule="auto"/>
      </w:pPr>
      <w:r>
        <w:t>6.1 Guide 1 — Tableau de bord décisionnel (Dashboard &amp; KPIs temps réel)</w:t>
      </w:r>
    </w:p>
    <w:p>
      <w:pPr>
        <w:pStyle w:val="ListBullet"/>
        <w:spacing w:before="20" w:after="60" w:line="276" w:lineRule="auto"/>
      </w:pPr>
      <w:r>
        <w:t>6.2 Guide 2 — Gestion et consultation du Parc d'Équipements (Machines)</w:t>
      </w:r>
    </w:p>
    <w:p>
      <w:pPr>
        <w:pStyle w:val="ListBullet"/>
        <w:spacing w:before="20" w:after="60" w:line="276" w:lineRule="auto"/>
      </w:pPr>
      <w:r>
        <w:t>6.3 Guide 3 — Création d'Interventions et génération de Bons de Travail PDF</w:t>
      </w:r>
    </w:p>
    <w:p>
      <w:pPr>
        <w:pStyle w:val="ListBullet"/>
        <w:spacing w:before="20" w:after="60" w:line="276" w:lineRule="auto"/>
      </w:pPr>
      <w:r>
        <w:t>6.4 Guide 4 — Gestion du magasin et stock de pièces de rechange</w:t>
      </w:r>
    </w:p>
    <w:p>
      <w:pPr>
        <w:pStyle w:val="ListBullet"/>
        <w:spacing w:before="20" w:after="60" w:line="276" w:lineRule="auto"/>
      </w:pPr>
      <w:r>
        <w:t>6.5 Guide 5 — Répertoire et suivi des Fournisseurs</w:t>
      </w:r>
    </w:p>
    <w:p>
      <w:pPr>
        <w:pStyle w:val="ListBullet"/>
        <w:spacing w:before="20" w:after="60" w:line="276" w:lineRule="auto"/>
      </w:pPr>
      <w:r>
        <w:t>6.6 Guide 6 — Matrice d'analyse des risques AMDEC &amp; calcul du NPR</w:t>
      </w:r>
    </w:p>
    <w:p>
      <w:pPr>
        <w:pStyle w:val="ListBullet"/>
        <w:spacing w:before="20" w:after="60" w:line="276" w:lineRule="auto"/>
      </w:pPr>
      <w:r>
        <w:t>6.7 Guide 7 — Calendrier et suivi de la maintenance préventive</w:t>
      </w:r>
    </w:p>
    <w:p>
      <w:pPr>
        <w:pStyle w:val="ListBullet"/>
        <w:spacing w:before="20" w:after="60" w:line="276" w:lineRule="auto"/>
      </w:pPr>
      <w:r>
        <w:t>6.8 Guide 8 — Consultation de la Gestion Électronique de Documents (GED)</w:t>
      </w:r>
    </w:p>
    <w:p>
      <w:pPr>
        <w:pStyle w:val="ListBullet"/>
        <w:spacing w:before="20" w:after="60" w:line="276" w:lineRule="auto"/>
      </w:pPr>
      <w:r>
        <w:t>6.9 Guide 9 — Administration des Utilisateurs et Rôles d'accès</w:t>
      </w:r>
    </w:p>
    <w:p>
      <w:pPr>
        <w:pStyle w:val="ListNumber"/>
        <w:spacing w:before="20" w:after="60" w:line="276" w:lineRule="auto"/>
      </w:pPr>
      <w:r>
        <w:rPr>
          <w:b/>
        </w:rPr>
        <w:t>Chapitre 7 — Résultats obtenus et perspectives d'évolution</w:t>
      </w:r>
    </w:p>
    <w:p>
      <w:pPr>
        <w:pStyle w:val="ListBullet"/>
        <w:spacing w:before="20" w:after="60" w:line="276" w:lineRule="auto"/>
      </w:pPr>
      <w:r>
        <w:t>7.1 Bilan du travail réalisé et apports pour le Fab Lab</w:t>
      </w:r>
    </w:p>
    <w:p>
      <w:pPr>
        <w:pStyle w:val="ListBullet"/>
        <w:spacing w:before="20" w:after="60" w:line="276" w:lineRule="auto"/>
      </w:pPr>
      <w:r>
        <w:t>7.2 Limites actuelles du système</w:t>
      </w:r>
    </w:p>
    <w:p>
      <w:pPr>
        <w:pStyle w:val="ListBullet"/>
        <w:spacing w:before="20" w:after="60" w:line="276" w:lineRule="auto"/>
      </w:pPr>
      <w:r>
        <w:t>7.3 Perspectives d'amélioration futures</w:t>
      </w:r>
    </w:p>
    <w:p>
      <w:pPr>
        <w:pStyle w:val="ListNumber"/>
        <w:spacing w:before="20" w:after="60" w:line="276" w:lineRule="auto"/>
      </w:pPr>
      <w:r>
        <w:rPr>
          <w:b/>
        </w:rPr>
        <w:t>Conclusion générale</w:t>
      </w:r>
    </w:p>
    <w:p>
      <w:pPr>
        <w:pStyle w:val="ListNumber"/>
        <w:spacing w:before="20" w:after="60" w:line="276" w:lineRule="auto"/>
      </w:pPr>
      <w:r>
        <w:rPr>
          <w:b/>
        </w:rPr>
        <w:t>Bilan personnel du stage (Compétences acquises)</w:t>
      </w:r>
    </w:p>
    <w:p>
      <w:pPr>
        <w:pStyle w:val="ListNumber"/>
        <w:spacing w:before="20" w:after="60" w:line="276" w:lineRule="auto"/>
      </w:pPr>
      <w:r>
        <w:rPr>
          <w:b/>
        </w:rPr>
        <w:t>Bibliographie et Webographie</w:t>
      </w:r>
    </w:p>
    <w:p>
      <w:pPr>
        <w:spacing w:before="320" w:after="120"/>
      </w:pPr>
      <w:r>
        <w:rPr>
          <w:rFonts w:ascii="Segoe UI" w:hAnsi="Segoe UI"/>
          <w:b/>
          <w:color w:val="B92721"/>
          <w:sz w:val="27"/>
        </w:rPr>
        <w:t>LISTE DES FIGURES</w:t>
      </w:r>
    </w:p>
    <w:p>
      <w:pPr>
        <w:pStyle w:val="ListBullet"/>
        <w:spacing w:before="20" w:after="60" w:line="276" w:lineRule="auto"/>
      </w:pPr>
      <w:r>
        <w:rPr>
          <w:b/>
        </w:rPr>
        <w:t>Figure 1.1 :</w:t>
      </w:r>
      <w:r>
        <w:t xml:space="preserve"> Vue d'ensemble du campus d'Universiapolis à Agadir</w:t>
      </w:r>
    </w:p>
    <w:p>
      <w:pPr>
        <w:pStyle w:val="ListBullet"/>
        <w:spacing w:before="20" w:after="60" w:line="276" w:lineRule="auto"/>
      </w:pPr>
      <w:r>
        <w:rPr>
          <w:b/>
        </w:rPr>
        <w:t>Figure 1.2 :</w:t>
      </w:r>
      <w:r>
        <w:t xml:space="preserve"> Localisation géographique d'Universiapolis à Agadir</w:t>
      </w:r>
    </w:p>
    <w:p>
      <w:pPr>
        <w:pStyle w:val="ListBullet"/>
        <w:spacing w:before="20" w:after="60" w:line="276" w:lineRule="auto"/>
      </w:pPr>
      <w:r>
        <w:rPr>
          <w:b/>
        </w:rPr>
        <w:t>Figure 1.3 :</w:t>
      </w:r>
      <w:r>
        <w:t xml:space="preserve"> Vue d'ensemble de l'espace de fabrication numérique du Fablab Universiapolis</w:t>
      </w:r>
    </w:p>
    <w:p>
      <w:pPr>
        <w:pStyle w:val="ListBullet"/>
        <w:spacing w:before="20" w:after="60" w:line="276" w:lineRule="auto"/>
      </w:pPr>
      <w:r>
        <w:rPr>
          <w:b/>
        </w:rPr>
        <w:t>Figure 1.4 :</w:t>
      </w:r>
      <w:r>
        <w:t xml:space="preserve"> Machine CNC (Usinage Prototypage TPROD 6060)</w:t>
      </w:r>
    </w:p>
    <w:p>
      <w:pPr>
        <w:pStyle w:val="ListBullet"/>
        <w:spacing w:before="20" w:after="60" w:line="276" w:lineRule="auto"/>
      </w:pPr>
      <w:r>
        <w:rPr>
          <w:b/>
        </w:rPr>
        <w:t>Figure 1.5 :</w:t>
      </w:r>
      <w:r>
        <w:t xml:space="preserve"> Découpeuse Laser CO2 (Trotec Speedy 100)</w:t>
      </w:r>
    </w:p>
    <w:p>
      <w:pPr>
        <w:pStyle w:val="ListBullet"/>
        <w:spacing w:before="20" w:after="60" w:line="276" w:lineRule="auto"/>
      </w:pPr>
      <w:r>
        <w:rPr>
          <w:b/>
        </w:rPr>
        <w:t>Figure 1.6 :</w:t>
      </w:r>
      <w:r>
        <w:t xml:space="preserve"> Machine PCB CNC (Technodrill 3 pour circuits imprimés)</w:t>
      </w:r>
    </w:p>
    <w:p>
      <w:pPr>
        <w:pStyle w:val="ListBullet"/>
        <w:spacing w:before="20" w:after="60" w:line="276" w:lineRule="auto"/>
      </w:pPr>
      <w:r>
        <w:rPr>
          <w:b/>
        </w:rPr>
        <w:t>Figure 1.7 :</w:t>
      </w:r>
      <w:r>
        <w:t xml:space="preserve"> Imprimante 3D Résine SLA (Formlabs Form 3)</w:t>
      </w:r>
    </w:p>
    <w:p>
      <w:pPr>
        <w:pStyle w:val="ListBullet"/>
        <w:spacing w:before="20" w:after="60" w:line="276" w:lineRule="auto"/>
      </w:pPr>
      <w:r>
        <w:rPr>
          <w:b/>
        </w:rPr>
        <w:t>Figure 1.8 :</w:t>
      </w:r>
      <w:r>
        <w:t xml:space="preserve"> Imprimante 3D FDM &amp; Fibre de Carbone (Raise3D E2CF)</w:t>
      </w:r>
    </w:p>
    <w:p>
      <w:pPr>
        <w:pStyle w:val="ListBullet"/>
        <w:spacing w:before="20" w:after="60" w:line="276" w:lineRule="auto"/>
      </w:pPr>
      <w:r>
        <w:rPr>
          <w:b/>
        </w:rPr>
        <w:t>Figure 1.9 :</w:t>
      </w:r>
      <w:r>
        <w:t xml:space="preserve"> Espace de travail et poste de gestion GMAO au Fablab</w:t>
      </w:r>
    </w:p>
    <w:p>
      <w:pPr>
        <w:pStyle w:val="ListBullet"/>
        <w:spacing w:before="20" w:after="60" w:line="276" w:lineRule="auto"/>
      </w:pPr>
      <w:r>
        <w:rPr>
          <w:b/>
        </w:rPr>
        <w:t>Figure 2.1 :</w:t>
      </w:r>
      <w:r>
        <w:t xml:space="preserve"> Photo réelle de la fraiseuse CNC PIPROD TPROD-6060 (Équipement FL-009)</w:t>
      </w:r>
    </w:p>
    <w:p>
      <w:pPr>
        <w:pStyle w:val="ListBullet"/>
        <w:spacing w:before="20" w:after="60" w:line="276" w:lineRule="auto"/>
      </w:pPr>
      <w:r>
        <w:rPr>
          <w:b/>
        </w:rPr>
        <w:t>Figure 2.2 :</w:t>
      </w:r>
      <w:r>
        <w:t xml:space="preserve"> Photo réelle de l'imprimante 3D résine Formlabs Form 3 (FL-010)</w:t>
      </w:r>
    </w:p>
    <w:p>
      <w:pPr>
        <w:pStyle w:val="ListBullet"/>
        <w:spacing w:before="20" w:after="60" w:line="276" w:lineRule="auto"/>
      </w:pPr>
      <w:r>
        <w:rPr>
          <w:b/>
        </w:rPr>
        <w:t>Figure 2.3 :</w:t>
      </w:r>
      <w:r>
        <w:t xml:space="preserve"> Photo réelle de la découpeuse Laser CO2 Trotec Speedy 100 (FL-068)</w:t>
      </w:r>
    </w:p>
    <w:p>
      <w:pPr>
        <w:pStyle w:val="ListBullet"/>
        <w:spacing w:before="20" w:after="60" w:line="276" w:lineRule="auto"/>
      </w:pPr>
      <w:r>
        <w:rPr>
          <w:b/>
        </w:rPr>
        <w:t>Figure 2.4 :</w:t>
      </w:r>
      <w:r>
        <w:t xml:space="preserve"> Photo réelle du système d'aspiration et de filtration AirClean (EQ1)</w:t>
      </w:r>
    </w:p>
    <w:p>
      <w:pPr>
        <w:pStyle w:val="ListBullet"/>
        <w:spacing w:before="20" w:after="60" w:line="276" w:lineRule="auto"/>
      </w:pPr>
      <w:r>
        <w:rPr>
          <w:b/>
        </w:rPr>
        <w:t>Figure 3.1 :</w:t>
      </w:r>
      <w:r>
        <w:t xml:space="preserve"> PowerAMC — Modèle Conceptuel de Données (MCD Merise)</w:t>
      </w:r>
    </w:p>
    <w:p>
      <w:pPr>
        <w:pStyle w:val="ListBullet"/>
        <w:spacing w:before="20" w:after="60" w:line="276" w:lineRule="auto"/>
      </w:pPr>
      <w:r>
        <w:rPr>
          <w:b/>
        </w:rPr>
        <w:t>Figure 3.2 :</w:t>
      </w:r>
      <w:r>
        <w:t xml:space="preserve"> PowerAMC / PowerDesigner — Modèle Logique de Données (MLD Relationnel SGBD)</w:t>
      </w:r>
    </w:p>
    <w:p>
      <w:pPr>
        <w:pStyle w:val="ListBullet"/>
        <w:spacing w:before="20" w:after="60" w:line="276" w:lineRule="auto"/>
      </w:pPr>
      <w:r>
        <w:rPr>
          <w:b/>
        </w:rPr>
        <w:t>Figure 3.3 :</w:t>
      </w:r>
      <w:r>
        <w:t xml:space="preserve"> Diagramme de Classes UML — Modèle Métier GMA LAB</w:t>
      </w:r>
    </w:p>
    <w:p>
      <w:pPr>
        <w:pStyle w:val="ListBullet"/>
        <w:spacing w:before="20" w:after="60" w:line="276" w:lineRule="auto"/>
      </w:pPr>
      <w:r>
        <w:rPr>
          <w:b/>
        </w:rPr>
        <w:t>Figure 3.4 :</w:t>
      </w:r>
      <w:r>
        <w:t xml:space="preserve"> Diagramme de Cas d'Utilisation UML — GMA LAB</w:t>
      </w:r>
    </w:p>
    <w:p>
      <w:pPr>
        <w:pStyle w:val="ListBullet"/>
        <w:spacing w:before="20" w:after="60" w:line="276" w:lineRule="auto"/>
      </w:pPr>
      <w:r>
        <w:rPr>
          <w:b/>
        </w:rPr>
        <w:t>Figure 3.5 :</w:t>
      </w:r>
      <w:r>
        <w:t xml:space="preserve"> Diagramme de Séquence UML — Traitement d'un Bon de Travail &amp; PDF</w:t>
      </w:r>
    </w:p>
    <w:p>
      <w:pPr>
        <w:pStyle w:val="ListBullet"/>
        <w:spacing w:before="20" w:after="60" w:line="276" w:lineRule="auto"/>
      </w:pPr>
      <w:r>
        <w:rPr>
          <w:b/>
        </w:rPr>
        <w:t>Figure 3.6 :</w:t>
      </w:r>
      <w:r>
        <w:t xml:space="preserve"> Diagramme d'Activité UML — Processus de Traitement de Maintenance</w:t>
      </w:r>
    </w:p>
    <w:p>
      <w:pPr>
        <w:pStyle w:val="ListBullet"/>
        <w:spacing w:before="20" w:after="60" w:line="276" w:lineRule="auto"/>
      </w:pPr>
      <w:r>
        <w:rPr>
          <w:b/>
        </w:rPr>
        <w:t>Figure 3.7 :</w:t>
      </w:r>
      <w:r>
        <w:t xml:space="preserve"> Diagramme d'États-Transitions — Cycle de vie d'un Bon de Travail (OT)</w:t>
      </w:r>
    </w:p>
    <w:p>
      <w:pPr>
        <w:pStyle w:val="ListBullet"/>
        <w:spacing w:before="20" w:after="60" w:line="276" w:lineRule="auto"/>
      </w:pPr>
      <w:r>
        <w:rPr>
          <w:b/>
        </w:rPr>
        <w:t>Figure 3.8 :</w:t>
      </w:r>
      <w:r>
        <w:t xml:space="preserve"> Diagramme de Flux de Données (DFD Niveau 1) — Système GMA LAB</w:t>
      </w:r>
    </w:p>
    <w:p>
      <w:pPr>
        <w:pStyle w:val="ListBullet"/>
        <w:spacing w:before="20" w:after="60" w:line="276" w:lineRule="auto"/>
      </w:pPr>
      <w:r>
        <w:rPr>
          <w:b/>
        </w:rPr>
        <w:t>Figure 3.9 :</w:t>
      </w:r>
      <w:r>
        <w:t xml:space="preserve"> Diagramme d'Architecture Technique Global — Solution GMA LAB</w:t>
      </w:r>
    </w:p>
    <w:p>
      <w:pPr>
        <w:pStyle w:val="ListBullet"/>
        <w:spacing w:before="20" w:after="60" w:line="276" w:lineRule="auto"/>
      </w:pPr>
      <w:r>
        <w:rPr>
          <w:b/>
        </w:rPr>
        <w:t>Figure 6.1 :</w:t>
      </w:r>
      <w:r>
        <w:t xml:space="preserve"> Interface du Tableau de Bord décisionnel de l'application GMA LAB</w:t>
      </w:r>
    </w:p>
    <w:p>
      <w:pPr>
        <w:pStyle w:val="ListBullet"/>
        <w:spacing w:before="20" w:after="60" w:line="276" w:lineRule="auto"/>
      </w:pPr>
      <w:r>
        <w:rPr>
          <w:b/>
        </w:rPr>
        <w:t>Figure 6.2 :</w:t>
      </w:r>
      <w:r>
        <w:t xml:space="preserve"> Interface de gestion du Parc d'Équipements du Fab Lab</w:t>
      </w:r>
    </w:p>
    <w:p>
      <w:pPr>
        <w:pStyle w:val="ListBullet"/>
        <w:spacing w:before="20" w:after="60" w:line="276" w:lineRule="auto"/>
      </w:pPr>
      <w:r>
        <w:rPr>
          <w:b/>
        </w:rPr>
        <w:t>Figure 6.3 :</w:t>
      </w:r>
      <w:r>
        <w:t xml:space="preserve"> Interface du module de Gestion des Interventions et Bons de Travail</w:t>
      </w:r>
    </w:p>
    <w:p>
      <w:pPr>
        <w:pStyle w:val="ListBullet"/>
        <w:spacing w:before="20" w:after="60" w:line="276" w:lineRule="auto"/>
      </w:pPr>
      <w:r>
        <w:rPr>
          <w:b/>
        </w:rPr>
        <w:t>Figure 6.4 :</w:t>
      </w:r>
      <w:r>
        <w:t xml:space="preserve"> Interface du Stock de Pièces de Rechange et gestion des seuils d'alerte</w:t>
      </w:r>
    </w:p>
    <w:p>
      <w:pPr>
        <w:pStyle w:val="ListBullet"/>
        <w:spacing w:before="20" w:after="60" w:line="276" w:lineRule="auto"/>
      </w:pPr>
      <w:r>
        <w:rPr>
          <w:b/>
        </w:rPr>
        <w:t>Figure 6.5 :</w:t>
      </w:r>
      <w:r>
        <w:t xml:space="preserve"> Interface du répertoire des Fournisseurs du Fab Lab</w:t>
      </w:r>
    </w:p>
    <w:p>
      <w:pPr>
        <w:pStyle w:val="ListBullet"/>
        <w:spacing w:before="20" w:after="60" w:line="276" w:lineRule="auto"/>
      </w:pPr>
      <w:r>
        <w:rPr>
          <w:b/>
        </w:rPr>
        <w:t>Figure 6.6 :</w:t>
      </w:r>
      <w:r>
        <w:t xml:space="preserve"> Interface du module AMDEC et matrice de criticité des défaillances</w:t>
      </w:r>
    </w:p>
    <w:p>
      <w:pPr>
        <w:pStyle w:val="ListBullet"/>
        <w:spacing w:before="20" w:after="60" w:line="276" w:lineRule="auto"/>
      </w:pPr>
      <w:r>
        <w:rPr>
          <w:b/>
        </w:rPr>
        <w:t>Figure 6.7 :</w:t>
      </w:r>
      <w:r>
        <w:t xml:space="preserve"> Interface du Plan de Maintenance Préventive et planning des révisions</w:t>
      </w:r>
    </w:p>
    <w:p>
      <w:pPr>
        <w:pStyle w:val="ListBullet"/>
        <w:spacing w:before="20" w:after="60" w:line="276" w:lineRule="auto"/>
      </w:pPr>
      <w:r>
        <w:rPr>
          <w:b/>
        </w:rPr>
        <w:t>Figure 6.8 :</w:t>
      </w:r>
      <w:r>
        <w:t xml:space="preserve"> Interface de Gestion Électronique de Documents (GED)</w:t>
      </w:r>
    </w:p>
    <w:p>
      <w:pPr>
        <w:pStyle w:val="ListBullet"/>
        <w:spacing w:before="20" w:after="60" w:line="276" w:lineRule="auto"/>
      </w:pPr>
      <w:r>
        <w:rPr>
          <w:b/>
        </w:rPr>
        <w:t>Figure 6.9 :</w:t>
      </w:r>
      <w:r>
        <w:t xml:space="preserve"> Interface du Journal d'Audit et traçabilité des actions utilisateurs</w:t>
      </w:r>
    </w:p>
    <w:p>
      <w:r>
        <w:br w:type="page"/>
      </w:r>
    </w:p>
    <w:p>
      <w:pPr>
        <w:spacing w:before="480" w:after="280"/>
        <w:jc w:val="center"/>
        <w:pBdr>
          <w:top w:val="single" w:sz="12" w:space="6" w:color="B92721"/>
          <w:bottom w:val="single" w:sz="18" w:space="6" w:color="2F3874"/>
        </w:pBdr>
      </w:pPr>
      <w:r>
        <w:rPr>
          <w:rFonts w:ascii="Segoe UI" w:hAnsi="Segoe UI"/>
          <w:b/>
          <w:color w:val="2F3874"/>
          <w:sz w:val="36"/>
        </w:rPr>
        <w:t>CHAPITRE 1 — PRÉSENTATION DE L’ORGANISME D’ACCUEIL ET DU FAB LAB</w:t>
      </w:r>
    </w:p>
    <w:p>
      <w:pPr>
        <w:spacing w:before="320" w:after="120"/>
      </w:pPr>
      <w:r>
        <w:rPr>
          <w:rFonts w:ascii="Segoe UI" w:hAnsi="Segoe UI"/>
          <w:b/>
          <w:color w:val="B92721"/>
          <w:sz w:val="27"/>
        </w:rPr>
        <w:t>1.1 Présentation d'Universiapolis – Université Internationale d'Agadir</w:t>
      </w:r>
    </w:p>
    <w:p>
      <w:pPr>
        <w:spacing w:before="40" w:after="100" w:line="276" w:lineRule="auto"/>
      </w:pPr>
      <w:r>
        <w:rPr>
          <w:b/>
        </w:rPr>
        <w:t>Universiapolis – Université Internationale d'Agadir</w:t>
      </w:r>
      <w:r>
        <w:t xml:space="preserve"> est un établissement d'enseignement supérieur privé situé à Agadir, au Maroc. Il propose des formations dans plusieurs domaines, notamment l'ingénierie, l'informatique, le management, la santé, le droit et les sciences humaines, en mettant l'accent sur la qualité de l'enseignement, l'innovation et l'ouverture sur le monde professionnel.</w:t>
      </w:r>
    </w:p>
    <w:p>
      <w:pPr>
        <w:spacing w:before="240" w:after="80"/>
        <w:jc w:val="center"/>
      </w:pPr>
      <w:r>
        <w:drawing>
          <wp:inline xmlns:a="http://schemas.openxmlformats.org/drawingml/2006/main" xmlns:pic="http://schemas.openxmlformats.org/drawingml/2006/picture">
            <wp:extent cx="5303520" cy="2284027"/>
            <wp:docPr id="1" name="Picture 1"/>
            <wp:cNvGraphicFramePr>
              <a:graphicFrameLocks noChangeAspect="1"/>
            </wp:cNvGraphicFramePr>
            <a:graphic>
              <a:graphicData uri="http://schemas.openxmlformats.org/drawingml/2006/picture">
                <pic:pic>
                  <pic:nvPicPr>
                    <pic:cNvPr id="0" name="img_page_6_2.jpeg"/>
                    <pic:cNvPicPr/>
                  </pic:nvPicPr>
                  <pic:blipFill>
                    <a:blip r:embed="rId11"/>
                    <a:stretch>
                      <a:fillRect/>
                    </a:stretch>
                  </pic:blipFill>
                  <pic:spPr>
                    <a:xfrm>
                      <a:off x="0" y="0"/>
                      <a:ext cx="5303520" cy="2284027"/>
                    </a:xfrm>
                    <a:prstGeom prst="rect"/>
                  </pic:spPr>
                </pic:pic>
              </a:graphicData>
            </a:graphic>
          </wp:inline>
        </w:drawing>
      </w:r>
    </w:p>
    <w:p>
      <w:pPr>
        <w:spacing w:before="40" w:after="280"/>
        <w:jc w:val="center"/>
      </w:pPr>
      <w:r>
        <w:rPr>
          <w:rFonts w:ascii="Segoe UI" w:hAnsi="Segoe UI"/>
          <w:b/>
          <w:i/>
          <w:color w:val="2F3874"/>
          <w:sz w:val="19"/>
        </w:rPr>
        <w:t>Figure 1.1 — Vue d'ensemble du campus d'Universiapolis à Agadir</w:t>
      </w:r>
    </w:p>
    <w:p>
      <w:pPr>
        <w:spacing w:before="40" w:after="100" w:line="276" w:lineRule="auto"/>
      </w:pPr>
      <w:r>
        <w:rPr>
          <w:b/>
        </w:rPr>
        <w:t>Figure 1.1 — Vue d'ensemble du campus d'Universiapolis à Agadir</w:t>
      </w:r>
    </w:p>
    <w:p>
      <w:pPr>
        <w:spacing w:before="240" w:after="80"/>
        <w:jc w:val="center"/>
      </w:pPr>
      <w:r>
        <w:drawing>
          <wp:inline xmlns:a="http://schemas.openxmlformats.org/drawingml/2006/main" xmlns:pic="http://schemas.openxmlformats.org/drawingml/2006/picture">
            <wp:extent cx="5029200" cy="3708400"/>
            <wp:docPr id="2" name="Picture 2"/>
            <wp:cNvGraphicFramePr>
              <a:graphicFrameLocks noChangeAspect="1"/>
            </wp:cNvGraphicFramePr>
            <a:graphic>
              <a:graphicData uri="http://schemas.openxmlformats.org/drawingml/2006/picture">
                <pic:pic>
                  <pic:nvPicPr>
                    <pic:cNvPr id="0" name="img_page_6_3.jpeg"/>
                    <pic:cNvPicPr/>
                  </pic:nvPicPr>
                  <pic:blipFill>
                    <a:blip r:embed="rId12"/>
                    <a:stretch>
                      <a:fillRect/>
                    </a:stretch>
                  </pic:blipFill>
                  <pic:spPr>
                    <a:xfrm>
                      <a:off x="0" y="0"/>
                      <a:ext cx="5029200" cy="3708400"/>
                    </a:xfrm>
                    <a:prstGeom prst="rect"/>
                  </pic:spPr>
                </pic:pic>
              </a:graphicData>
            </a:graphic>
          </wp:inline>
        </w:drawing>
      </w:r>
    </w:p>
    <w:p>
      <w:pPr>
        <w:spacing w:before="40" w:after="280"/>
        <w:jc w:val="center"/>
      </w:pPr>
      <w:r>
        <w:rPr>
          <w:rFonts w:ascii="Segoe UI" w:hAnsi="Segoe UI"/>
          <w:b/>
          <w:i/>
          <w:color w:val="2F3874"/>
          <w:sz w:val="19"/>
        </w:rPr>
        <w:t>Figure 1.2 — Localisation géographique d'Universiapolis à Agadir</w:t>
      </w:r>
    </w:p>
    <w:p>
      <w:pPr>
        <w:spacing w:before="40" w:after="100" w:line="276" w:lineRule="auto"/>
      </w:pPr>
      <w:r>
        <w:rPr>
          <w:b/>
        </w:rPr>
        <w:t>Figure 1.2 — Localisation géographique d'Universiapolis à Agadir</w:t>
      </w:r>
    </w:p>
    <w:p>
      <w:pPr>
        <w:spacing w:before="320" w:after="120"/>
      </w:pPr>
      <w:r>
        <w:rPr>
          <w:rFonts w:ascii="Segoe UI" w:hAnsi="Segoe UI"/>
          <w:b/>
          <w:color w:val="B92721"/>
          <w:sz w:val="27"/>
        </w:rPr>
        <w:t>1.2 Présentation du Fablab Universiapolis</w:t>
      </w:r>
    </w:p>
    <w:p>
      <w:pPr>
        <w:spacing w:before="40" w:after="100" w:line="276" w:lineRule="auto"/>
      </w:pPr>
      <w:r>
        <w:t xml:space="preserve">Le </w:t>
      </w:r>
      <w:r>
        <w:rPr>
          <w:b/>
        </w:rPr>
        <w:t>Fablab Universiapolis</w:t>
      </w:r>
      <w:r>
        <w:t xml:space="preserve"> est un laboratoire de fabrication numérique intégré à l'Université Internationale d'Agadir. Il constitue un espace d'innovation dédié à la conception, au prototypage et à la fabrication de solutions technologiques. Il offre aux étudiants, enseignants, chercheurs et porteurs de projets un environnement favorisant la créativité, l'expérimentation et l'apprentissage par la pratique.</w:t>
      </w:r>
    </w:p>
    <w:p>
      <w:pPr>
        <w:spacing w:before="240" w:after="80"/>
        <w:jc w:val="center"/>
      </w:pPr>
      <w:r>
        <w:drawing>
          <wp:inline xmlns:a="http://schemas.openxmlformats.org/drawingml/2006/main" xmlns:pic="http://schemas.openxmlformats.org/drawingml/2006/picture">
            <wp:extent cx="5303520" cy="2379955"/>
            <wp:docPr id="3" name="Picture 3"/>
            <wp:cNvGraphicFramePr>
              <a:graphicFrameLocks noChangeAspect="1"/>
            </wp:cNvGraphicFramePr>
            <a:graphic>
              <a:graphicData uri="http://schemas.openxmlformats.org/drawingml/2006/picture">
                <pic:pic>
                  <pic:nvPicPr>
                    <pic:cNvPr id="0" name="img_page_7_2.jpeg"/>
                    <pic:cNvPicPr/>
                  </pic:nvPicPr>
                  <pic:blipFill>
                    <a:blip r:embed="rId13"/>
                    <a:stretch>
                      <a:fillRect/>
                    </a:stretch>
                  </pic:blipFill>
                  <pic:spPr>
                    <a:xfrm>
                      <a:off x="0" y="0"/>
                      <a:ext cx="5303520" cy="2379955"/>
                    </a:xfrm>
                    <a:prstGeom prst="rect"/>
                  </pic:spPr>
                </pic:pic>
              </a:graphicData>
            </a:graphic>
          </wp:inline>
        </w:drawing>
      </w:r>
    </w:p>
    <w:p>
      <w:pPr>
        <w:spacing w:before="40" w:after="280"/>
        <w:jc w:val="center"/>
      </w:pPr>
      <w:r>
        <w:rPr>
          <w:rFonts w:ascii="Segoe UI" w:hAnsi="Segoe UI"/>
          <w:b/>
          <w:i/>
          <w:color w:val="2F3874"/>
          <w:sz w:val="19"/>
        </w:rPr>
        <w:t>Figure 1.3 — Vue d'ensemble de l'espace de fabrication numérique du Fablab Universiapolis</w:t>
      </w:r>
    </w:p>
    <w:p>
      <w:pPr>
        <w:spacing w:before="40" w:after="100" w:line="276" w:lineRule="auto"/>
      </w:pPr>
      <w:r>
        <w:rPr>
          <w:b/>
        </w:rPr>
        <w:t>Figure 1.3 — Vue d'ensemble de l'espace de fabrication numérique du Fablab Universiapolis</w:t>
      </w:r>
    </w:p>
    <w:p>
      <w:pPr>
        <w:spacing w:before="40" w:after="100" w:line="276" w:lineRule="auto"/>
      </w:pPr>
      <w:r>
        <w:t>Le Fablab met à la disposition de ses utilisateurs une large gamme d'équipements de fabrication numérique :</w:t>
      </w:r>
    </w:p>
    <w:p>
      <w:pPr>
        <w:spacing w:before="240" w:after="80"/>
        <w:jc w:val="center"/>
      </w:pPr>
      <w:r>
        <w:drawing>
          <wp:inline xmlns:a="http://schemas.openxmlformats.org/drawingml/2006/main" xmlns:pic="http://schemas.openxmlformats.org/drawingml/2006/picture">
            <wp:extent cx="4114800" cy="4303059"/>
            <wp:docPr id="4" name="Picture 4"/>
            <wp:cNvGraphicFramePr>
              <a:graphicFrameLocks noChangeAspect="1"/>
            </wp:cNvGraphicFramePr>
            <a:graphic>
              <a:graphicData uri="http://schemas.openxmlformats.org/drawingml/2006/picture">
                <pic:pic>
                  <pic:nvPicPr>
                    <pic:cNvPr id="0" name="img_page_7_3.jpeg"/>
                    <pic:cNvPicPr/>
                  </pic:nvPicPr>
                  <pic:blipFill>
                    <a:blip r:embed="rId14"/>
                    <a:stretch>
                      <a:fillRect/>
                    </a:stretch>
                  </pic:blipFill>
                  <pic:spPr>
                    <a:xfrm>
                      <a:off x="0" y="0"/>
                      <a:ext cx="4114800" cy="4303059"/>
                    </a:xfrm>
                    <a:prstGeom prst="rect"/>
                  </pic:spPr>
                </pic:pic>
              </a:graphicData>
            </a:graphic>
          </wp:inline>
        </w:drawing>
      </w:r>
    </w:p>
    <w:p>
      <w:pPr>
        <w:spacing w:before="40" w:after="280"/>
        <w:jc w:val="center"/>
      </w:pPr>
      <w:r>
        <w:rPr>
          <w:rFonts w:ascii="Segoe UI" w:hAnsi="Segoe UI"/>
          <w:b/>
          <w:i/>
          <w:color w:val="2F3874"/>
          <w:sz w:val="19"/>
        </w:rPr>
        <w:t>Figure 1.4 — Machine CNC (Usinage Prototypage TPROD 6060)</w:t>
      </w:r>
    </w:p>
    <w:p>
      <w:pPr>
        <w:spacing w:before="40" w:after="100" w:line="276" w:lineRule="auto"/>
      </w:pPr>
      <w:r>
        <w:rPr>
          <w:b/>
        </w:rPr>
        <w:t>Figure 1.4 — Machine CNC (Usinage Prototypage TPROD 6060)</w:t>
      </w:r>
    </w:p>
    <w:p>
      <w:pPr>
        <w:spacing w:before="240" w:after="80"/>
        <w:jc w:val="center"/>
      </w:pPr>
      <w:r>
        <w:drawing>
          <wp:inline xmlns:a="http://schemas.openxmlformats.org/drawingml/2006/main" xmlns:pic="http://schemas.openxmlformats.org/drawingml/2006/picture">
            <wp:extent cx="4114800" cy="4678869"/>
            <wp:docPr id="5" name="Picture 5"/>
            <wp:cNvGraphicFramePr>
              <a:graphicFrameLocks noChangeAspect="1"/>
            </wp:cNvGraphicFramePr>
            <a:graphic>
              <a:graphicData uri="http://schemas.openxmlformats.org/drawingml/2006/picture">
                <pic:pic>
                  <pic:nvPicPr>
                    <pic:cNvPr id="0" name="img_page_7_4.jpeg"/>
                    <pic:cNvPicPr/>
                  </pic:nvPicPr>
                  <pic:blipFill>
                    <a:blip r:embed="rId15"/>
                    <a:stretch>
                      <a:fillRect/>
                    </a:stretch>
                  </pic:blipFill>
                  <pic:spPr>
                    <a:xfrm>
                      <a:off x="0" y="0"/>
                      <a:ext cx="4114800" cy="4678869"/>
                    </a:xfrm>
                    <a:prstGeom prst="rect"/>
                  </pic:spPr>
                </pic:pic>
              </a:graphicData>
            </a:graphic>
          </wp:inline>
        </w:drawing>
      </w:r>
    </w:p>
    <w:p>
      <w:pPr>
        <w:spacing w:before="40" w:after="280"/>
        <w:jc w:val="center"/>
      </w:pPr>
      <w:r>
        <w:rPr>
          <w:rFonts w:ascii="Segoe UI" w:hAnsi="Segoe UI"/>
          <w:b/>
          <w:i/>
          <w:color w:val="2F3874"/>
          <w:sz w:val="19"/>
        </w:rPr>
        <w:t>Figure 1.5 — Découpeuse Laser CO2 (Trotec Speedy 100)</w:t>
      </w:r>
    </w:p>
    <w:p>
      <w:pPr>
        <w:spacing w:before="40" w:after="100" w:line="276" w:lineRule="auto"/>
      </w:pPr>
      <w:r>
        <w:rPr>
          <w:b/>
        </w:rPr>
        <w:t>Figure 1.5 — Découpeuse Laser CO2 (Trotec Speedy 100)</w:t>
      </w:r>
    </w:p>
    <w:p>
      <w:pPr>
        <w:spacing w:before="240" w:after="80"/>
        <w:jc w:val="center"/>
      </w:pPr>
      <w:r>
        <w:drawing>
          <wp:inline xmlns:a="http://schemas.openxmlformats.org/drawingml/2006/main" xmlns:pic="http://schemas.openxmlformats.org/drawingml/2006/picture">
            <wp:extent cx="4114800" cy="4967353"/>
            <wp:docPr id="6" name="Picture 6"/>
            <wp:cNvGraphicFramePr>
              <a:graphicFrameLocks noChangeAspect="1"/>
            </wp:cNvGraphicFramePr>
            <a:graphic>
              <a:graphicData uri="http://schemas.openxmlformats.org/drawingml/2006/picture">
                <pic:pic>
                  <pic:nvPicPr>
                    <pic:cNvPr id="0" name="img_page_8_1.jpeg"/>
                    <pic:cNvPicPr/>
                  </pic:nvPicPr>
                  <pic:blipFill>
                    <a:blip r:embed="rId16"/>
                    <a:stretch>
                      <a:fillRect/>
                    </a:stretch>
                  </pic:blipFill>
                  <pic:spPr>
                    <a:xfrm>
                      <a:off x="0" y="0"/>
                      <a:ext cx="4114800" cy="4967353"/>
                    </a:xfrm>
                    <a:prstGeom prst="rect"/>
                  </pic:spPr>
                </pic:pic>
              </a:graphicData>
            </a:graphic>
          </wp:inline>
        </w:drawing>
      </w:r>
    </w:p>
    <w:p>
      <w:pPr>
        <w:spacing w:before="40" w:after="280"/>
        <w:jc w:val="center"/>
      </w:pPr>
      <w:r>
        <w:rPr>
          <w:rFonts w:ascii="Segoe UI" w:hAnsi="Segoe UI"/>
          <w:b/>
          <w:i/>
          <w:color w:val="2F3874"/>
          <w:sz w:val="19"/>
        </w:rPr>
        <w:t>Figure 1.6 — Machine PCB CNC (Technodrill 3 pour circuits imprimés)</w:t>
      </w:r>
    </w:p>
    <w:p>
      <w:pPr>
        <w:spacing w:before="40" w:after="100" w:line="276" w:lineRule="auto"/>
      </w:pPr>
      <w:r>
        <w:rPr>
          <w:b/>
        </w:rPr>
        <w:t>Figure 1.6 — Machine PCB CNC (Technodrill 3 pour circuits imprimés)</w:t>
      </w:r>
    </w:p>
    <w:p>
      <w:pPr>
        <w:spacing w:before="240" w:after="80"/>
        <w:jc w:val="center"/>
      </w:pPr>
      <w:r>
        <w:drawing>
          <wp:inline xmlns:a="http://schemas.openxmlformats.org/drawingml/2006/main" xmlns:pic="http://schemas.openxmlformats.org/drawingml/2006/picture">
            <wp:extent cx="3840480" cy="4655329"/>
            <wp:docPr id="7" name="Picture 7"/>
            <wp:cNvGraphicFramePr>
              <a:graphicFrameLocks noChangeAspect="1"/>
            </wp:cNvGraphicFramePr>
            <a:graphic>
              <a:graphicData uri="http://schemas.openxmlformats.org/drawingml/2006/picture">
                <pic:pic>
                  <pic:nvPicPr>
                    <pic:cNvPr id="0" name="img_page_8_2.jpeg"/>
                    <pic:cNvPicPr/>
                  </pic:nvPicPr>
                  <pic:blipFill>
                    <a:blip r:embed="rId17"/>
                    <a:stretch>
                      <a:fillRect/>
                    </a:stretch>
                  </pic:blipFill>
                  <pic:spPr>
                    <a:xfrm>
                      <a:off x="0" y="0"/>
                      <a:ext cx="3840480" cy="4655329"/>
                    </a:xfrm>
                    <a:prstGeom prst="rect"/>
                  </pic:spPr>
                </pic:pic>
              </a:graphicData>
            </a:graphic>
          </wp:inline>
        </w:drawing>
      </w:r>
    </w:p>
    <w:p>
      <w:pPr>
        <w:spacing w:before="40" w:after="280"/>
        <w:jc w:val="center"/>
      </w:pPr>
      <w:r>
        <w:rPr>
          <w:rFonts w:ascii="Segoe UI" w:hAnsi="Segoe UI"/>
          <w:b/>
          <w:i/>
          <w:color w:val="2F3874"/>
          <w:sz w:val="19"/>
        </w:rPr>
        <w:t>Figure 1.7 — Imprimante 3D Résine SLA (Formlabs Form 3)</w:t>
      </w:r>
    </w:p>
    <w:p>
      <w:pPr>
        <w:spacing w:before="40" w:after="100" w:line="276" w:lineRule="auto"/>
      </w:pPr>
      <w:r>
        <w:rPr>
          <w:b/>
        </w:rPr>
        <w:t>Figure 1.7 — Imprimante 3D Résine SLA (Formlabs Form 3)</w:t>
      </w:r>
    </w:p>
    <w:p>
      <w:pPr>
        <w:spacing w:before="240" w:after="80"/>
        <w:jc w:val="center"/>
      </w:pPr>
      <w:r>
        <w:drawing>
          <wp:inline xmlns:a="http://schemas.openxmlformats.org/drawingml/2006/main" xmlns:pic="http://schemas.openxmlformats.org/drawingml/2006/picture">
            <wp:extent cx="4114800" cy="4816104"/>
            <wp:docPr id="8" name="Picture 8"/>
            <wp:cNvGraphicFramePr>
              <a:graphicFrameLocks noChangeAspect="1"/>
            </wp:cNvGraphicFramePr>
            <a:graphic>
              <a:graphicData uri="http://schemas.openxmlformats.org/drawingml/2006/picture">
                <pic:pic>
                  <pic:nvPicPr>
                    <pic:cNvPr id="0" name="img_page_8_4.jpeg"/>
                    <pic:cNvPicPr/>
                  </pic:nvPicPr>
                  <pic:blipFill>
                    <a:blip r:embed="rId18"/>
                    <a:stretch>
                      <a:fillRect/>
                    </a:stretch>
                  </pic:blipFill>
                  <pic:spPr>
                    <a:xfrm>
                      <a:off x="0" y="0"/>
                      <a:ext cx="4114800" cy="4816104"/>
                    </a:xfrm>
                    <a:prstGeom prst="rect"/>
                  </pic:spPr>
                </pic:pic>
              </a:graphicData>
            </a:graphic>
          </wp:inline>
        </w:drawing>
      </w:r>
    </w:p>
    <w:p>
      <w:pPr>
        <w:spacing w:before="40" w:after="280"/>
        <w:jc w:val="center"/>
      </w:pPr>
      <w:r>
        <w:rPr>
          <w:rFonts w:ascii="Segoe UI" w:hAnsi="Segoe UI"/>
          <w:b/>
          <w:i/>
          <w:color w:val="2F3874"/>
          <w:sz w:val="19"/>
        </w:rPr>
        <w:t>Figure 1.8 — Imprimante 3D FDM &amp; Fibre de Carbone (Raise3D E2CF)</w:t>
      </w:r>
    </w:p>
    <w:p>
      <w:pPr>
        <w:spacing w:before="40" w:after="100" w:line="276" w:lineRule="auto"/>
      </w:pPr>
      <w:r>
        <w:rPr>
          <w:b/>
        </w:rPr>
        <w:t>Figure 1.8 — Imprimante 3D FDM &amp; Fibre de Carbone (Raise3D E2CF)</w:t>
      </w:r>
    </w:p>
    <w:p>
      <w:pPr>
        <w:spacing w:before="240" w:after="80"/>
        <w:jc w:val="center"/>
      </w:pPr>
      <w:r>
        <w:drawing>
          <wp:inline xmlns:a="http://schemas.openxmlformats.org/drawingml/2006/main" xmlns:pic="http://schemas.openxmlformats.org/drawingml/2006/picture">
            <wp:extent cx="3840480" cy="4818057"/>
            <wp:docPr id="9" name="Picture 9"/>
            <wp:cNvGraphicFramePr>
              <a:graphicFrameLocks noChangeAspect="1"/>
            </wp:cNvGraphicFramePr>
            <a:graphic>
              <a:graphicData uri="http://schemas.openxmlformats.org/drawingml/2006/picture">
                <pic:pic>
                  <pic:nvPicPr>
                    <pic:cNvPr id="0" name="img_page_9_1.jpeg"/>
                    <pic:cNvPicPr/>
                  </pic:nvPicPr>
                  <pic:blipFill>
                    <a:blip r:embed="rId19"/>
                    <a:stretch>
                      <a:fillRect/>
                    </a:stretch>
                  </pic:blipFill>
                  <pic:spPr>
                    <a:xfrm>
                      <a:off x="0" y="0"/>
                      <a:ext cx="3840480" cy="4818057"/>
                    </a:xfrm>
                    <a:prstGeom prst="rect"/>
                  </pic:spPr>
                </pic:pic>
              </a:graphicData>
            </a:graphic>
          </wp:inline>
        </w:drawing>
      </w:r>
    </w:p>
    <w:p>
      <w:pPr>
        <w:spacing w:before="40" w:after="280"/>
        <w:jc w:val="center"/>
      </w:pPr>
      <w:r>
        <w:rPr>
          <w:rFonts w:ascii="Segoe UI" w:hAnsi="Segoe UI"/>
          <w:b/>
          <w:i/>
          <w:color w:val="2F3874"/>
          <w:sz w:val="19"/>
        </w:rPr>
        <w:t>Figure 1.9 — Espace de travail et poste de gestion GMAO au Fablab</w:t>
      </w:r>
    </w:p>
    <w:p>
      <w:pPr>
        <w:spacing w:before="40" w:after="100" w:line="276" w:lineRule="auto"/>
      </w:pPr>
      <w:r>
        <w:rPr>
          <w:b/>
        </w:rPr>
        <w:t>Figure 1.9 — Espace de travail et poste de gestion GMAO au Fablab</w:t>
      </w:r>
    </w:p>
    <w:p>
      <w:r>
        <w:br w:type="page"/>
      </w:r>
    </w:p>
    <w:p>
      <w:pPr>
        <w:spacing w:before="480" w:after="280"/>
        <w:jc w:val="center"/>
        <w:pBdr>
          <w:top w:val="single" w:sz="12" w:space="6" w:color="B92721"/>
          <w:bottom w:val="single" w:sz="18" w:space="6" w:color="2F3874"/>
        </w:pBdr>
      </w:pPr>
      <w:r>
        <w:rPr>
          <w:rFonts w:ascii="Segoe UI" w:hAnsi="Segoe UI"/>
          <w:b/>
          <w:color w:val="2F3874"/>
          <w:sz w:val="36"/>
        </w:rPr>
        <w:t>CHAPITRE 2 — CONTEXTE DU PROJET ET ÉTUDE DE L'EXISTANT</w:t>
      </w:r>
    </w:p>
    <w:p>
      <w:pPr>
        <w:spacing w:before="320" w:after="120"/>
      </w:pPr>
      <w:r>
        <w:rPr>
          <w:rFonts w:ascii="Segoe UI" w:hAnsi="Segoe UI"/>
          <w:b/>
          <w:color w:val="B92721"/>
          <w:sz w:val="27"/>
        </w:rPr>
        <w:t>2.1 Contexte du travail et besoins du laboratoire</w:t>
      </w:r>
    </w:p>
    <w:p>
      <w:pPr>
        <w:spacing w:before="40" w:after="100" w:line="276" w:lineRule="auto"/>
      </w:pPr>
      <w:r>
        <w:t>Lors de mon arrival au Fab Lab Universiapolis, j'ai commencé par étudier le fonctionnement des ateliers et la gestion des machines. Le laboratoire compte plus de 70 équipements et outils au total, dont une quinisaine de machines principales complexes.</w:t>
      </w:r>
    </w:p>
    <w:p>
      <w:pPr>
        <w:spacing w:before="320" w:after="120"/>
      </w:pPr>
      <w:r>
        <w:rPr>
          <w:rFonts w:ascii="Segoe UI" w:hAnsi="Segoe UI"/>
          <w:b/>
          <w:color w:val="B92721"/>
          <w:sz w:val="27"/>
        </w:rPr>
        <w:t>2.3 Présentation des équipements réels du laboratoire</w:t>
      </w:r>
    </w:p>
    <w:p>
      <w:pPr>
        <w:spacing w:before="40" w:after="100" w:line="276" w:lineRule="auto"/>
      </w:pPr>
      <w:r>
        <w:t>Durant mon stage, j'ai photographié et documenté les machines réelles du laboratoire pour constituer la base de données et l'inventaire physique de l'application :</w:t>
      </w:r>
    </w:p>
    <w:p>
      <w:pPr>
        <w:spacing w:before="240" w:after="80"/>
        <w:jc w:val="center"/>
      </w:pPr>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FL-009.jpg"/>
                    <pic:cNvPicPr/>
                  </pic:nvPicPr>
                  <pic:blipFill>
                    <a:blip r:embed="rId20"/>
                    <a:stretch>
                      <a:fillRect/>
                    </a:stretch>
                  </pic:blipFill>
                  <pic:spPr>
                    <a:xfrm>
                      <a:off x="0" y="0"/>
                      <a:ext cx="4572000" cy="3429000"/>
                    </a:xfrm>
                    <a:prstGeom prst="rect"/>
                  </pic:spPr>
                </pic:pic>
              </a:graphicData>
            </a:graphic>
          </wp:inline>
        </w:drawing>
      </w:r>
    </w:p>
    <w:p>
      <w:pPr>
        <w:spacing w:before="40" w:after="280"/>
        <w:jc w:val="center"/>
      </w:pPr>
      <w:r>
        <w:rPr>
          <w:rFonts w:ascii="Segoe UI" w:hAnsi="Segoe UI"/>
          <w:b/>
          <w:i/>
          <w:color w:val="2F3874"/>
          <w:sz w:val="19"/>
        </w:rPr>
        <w:t>Figure 2.1 — Photo réelle de la fraiseuse CNC PIPROD TPROD-6060 (Équipement FL-009)</w:t>
      </w:r>
    </w:p>
    <w:p>
      <w:pPr>
        <w:spacing w:before="40" w:after="100" w:line="276" w:lineRule="auto"/>
      </w:pPr>
      <w:r>
        <w:rPr>
          <w:b/>
        </w:rPr>
        <w:t>Figure 2.1 — Photo réelle de la fraiseuse CNC PIPROD TPROD-6060 (Équipement FL-009)</w:t>
      </w:r>
    </w:p>
    <w:p>
      <w:pPr>
        <w:spacing w:before="240" w:after="80"/>
        <w:jc w:val="center"/>
      </w:pPr>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FL-010.jpg"/>
                    <pic:cNvPicPr/>
                  </pic:nvPicPr>
                  <pic:blipFill>
                    <a:blip r:embed="rId21"/>
                    <a:stretch>
                      <a:fillRect/>
                    </a:stretch>
                  </pic:blipFill>
                  <pic:spPr>
                    <a:xfrm>
                      <a:off x="0" y="0"/>
                      <a:ext cx="4572000" cy="3429000"/>
                    </a:xfrm>
                    <a:prstGeom prst="rect"/>
                  </pic:spPr>
                </pic:pic>
              </a:graphicData>
            </a:graphic>
          </wp:inline>
        </w:drawing>
      </w:r>
    </w:p>
    <w:p>
      <w:pPr>
        <w:spacing w:before="40" w:after="280"/>
        <w:jc w:val="center"/>
      </w:pPr>
      <w:r>
        <w:rPr>
          <w:rFonts w:ascii="Segoe UI" w:hAnsi="Segoe UI"/>
          <w:b/>
          <w:i/>
          <w:color w:val="2F3874"/>
          <w:sz w:val="19"/>
        </w:rPr>
        <w:t>Figure 2.2 — Photo réelle de l'imprimante 3D résine Formlabs Form 3 (FL-010)</w:t>
      </w:r>
    </w:p>
    <w:p>
      <w:pPr>
        <w:spacing w:before="40" w:after="100" w:line="276" w:lineRule="auto"/>
      </w:pPr>
      <w:r>
        <w:rPr>
          <w:b/>
        </w:rPr>
        <w:t>Figure 2.2 — Photo réelle de l'imprimante 3D résine Formlabs Form 3 (FL-010)</w:t>
      </w:r>
    </w:p>
    <w:p>
      <w:pPr>
        <w:spacing w:before="240" w:after="80"/>
        <w:jc w:val="center"/>
      </w:pPr>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FL-068.jpg"/>
                    <pic:cNvPicPr/>
                  </pic:nvPicPr>
                  <pic:blipFill>
                    <a:blip r:embed="rId22"/>
                    <a:stretch>
                      <a:fillRect/>
                    </a:stretch>
                  </pic:blipFill>
                  <pic:spPr>
                    <a:xfrm>
                      <a:off x="0" y="0"/>
                      <a:ext cx="4572000" cy="3429000"/>
                    </a:xfrm>
                    <a:prstGeom prst="rect"/>
                  </pic:spPr>
                </pic:pic>
              </a:graphicData>
            </a:graphic>
          </wp:inline>
        </w:drawing>
      </w:r>
    </w:p>
    <w:p>
      <w:pPr>
        <w:spacing w:before="40" w:after="280"/>
        <w:jc w:val="center"/>
      </w:pPr>
      <w:r>
        <w:rPr>
          <w:rFonts w:ascii="Segoe UI" w:hAnsi="Segoe UI"/>
          <w:b/>
          <w:i/>
          <w:color w:val="2F3874"/>
          <w:sz w:val="19"/>
        </w:rPr>
        <w:t>Figure 2.3 — Photo réelle de la découpeuse Laser CO2 Trotec Speedy 100 (FL-068)</w:t>
      </w:r>
    </w:p>
    <w:p>
      <w:pPr>
        <w:spacing w:before="40" w:after="100" w:line="276" w:lineRule="auto"/>
      </w:pPr>
      <w:r>
        <w:rPr>
          <w:b/>
        </w:rPr>
        <w:t>Figure 2.3 — Photo réelle de la découpeuse Laser CO2 Trotec Speedy 100 (FL-068)</w:t>
      </w:r>
    </w:p>
    <w:p>
      <w:pPr>
        <w:spacing w:before="240" w:after="80"/>
        <w:jc w:val="center"/>
      </w:pPr>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FL-010.jpg"/>
                    <pic:cNvPicPr/>
                  </pic:nvPicPr>
                  <pic:blipFill>
                    <a:blip r:embed="rId21"/>
                    <a:stretch>
                      <a:fillRect/>
                    </a:stretch>
                  </pic:blipFill>
                  <pic:spPr>
                    <a:xfrm>
                      <a:off x="0" y="0"/>
                      <a:ext cx="4572000" cy="3429000"/>
                    </a:xfrm>
                    <a:prstGeom prst="rect"/>
                  </pic:spPr>
                </pic:pic>
              </a:graphicData>
            </a:graphic>
          </wp:inline>
        </w:drawing>
      </w:r>
    </w:p>
    <w:p>
      <w:pPr>
        <w:spacing w:before="40" w:after="280"/>
        <w:jc w:val="center"/>
      </w:pPr>
      <w:r>
        <w:rPr>
          <w:rFonts w:ascii="Segoe UI" w:hAnsi="Segoe UI"/>
          <w:b/>
          <w:i/>
          <w:color w:val="2F3874"/>
          <w:sz w:val="19"/>
        </w:rPr>
        <w:t>Figure 2.4 — Photo réelle du système d'aspiration et de filtration AirClean (EQ1)</w:t>
      </w:r>
    </w:p>
    <w:p>
      <w:pPr>
        <w:spacing w:before="40" w:after="100" w:line="276" w:lineRule="auto"/>
      </w:pPr>
      <w:r>
        <w:rPr>
          <w:b/>
        </w:rPr>
        <w:t>Figure 2.4 — Photo réelle du système d'aspiration et de filtration AirClean (EQ1)</w:t>
      </w:r>
    </w:p>
    <w:p>
      <w:r>
        <w:br w:type="page"/>
      </w:r>
    </w:p>
    <w:p>
      <w:pPr>
        <w:spacing w:before="480" w:after="280"/>
        <w:jc w:val="center"/>
        <w:pBdr>
          <w:top w:val="single" w:sz="12" w:space="6" w:color="B92721"/>
          <w:bottom w:val="single" w:sz="18" w:space="6" w:color="2F3874"/>
        </w:pBdr>
      </w:pPr>
      <w:r>
        <w:rPr>
          <w:rFonts w:ascii="Segoe UI" w:hAnsi="Segoe UI"/>
          <w:b/>
          <w:color w:val="2F3874"/>
          <w:sz w:val="36"/>
        </w:rPr>
        <w:t>CHAPITRE 3 — ANALYSE ET MODÉLISATION DU SYSTÈME (POWERAMC / POWERDESIGNER)</w:t>
      </w:r>
    </w:p>
    <w:p>
      <w:pPr>
        <w:spacing w:before="320" w:after="120"/>
      </w:pPr>
      <w:r>
        <w:rPr>
          <w:rFonts w:ascii="Segoe UI" w:hAnsi="Segoe UI"/>
          <w:b/>
          <w:color w:val="B92721"/>
          <w:sz w:val="27"/>
        </w:rPr>
        <w:t>3.3 PowerAMC — Modèle Logique de Données (MLD Relationnel SGBD)</w:t>
      </w:r>
    </w:p>
    <w:p>
      <w:pPr>
        <w:spacing w:before="240" w:after="80"/>
        <w:jc w:val="center"/>
      </w:pPr>
      <w:r>
        <w:drawing>
          <wp:inline xmlns:a="http://schemas.openxmlformats.org/drawingml/2006/main" xmlns:pic="http://schemas.openxmlformats.org/drawingml/2006/picture">
            <wp:extent cx="5486400" cy="3710227"/>
            <wp:docPr id="14" name="Picture 14"/>
            <wp:cNvGraphicFramePr>
              <a:graphicFrameLocks noChangeAspect="1"/>
            </wp:cNvGraphicFramePr>
            <a:graphic>
              <a:graphicData uri="http://schemas.openxmlformats.org/drawingml/2006/picture">
                <pic:pic>
                  <pic:nvPicPr>
                    <pic:cNvPr id="0" name="diagram_mld.png"/>
                    <pic:cNvPicPr/>
                  </pic:nvPicPr>
                  <pic:blipFill>
                    <a:blip r:embed="rId23"/>
                    <a:stretch>
                      <a:fillRect/>
                    </a:stretch>
                  </pic:blipFill>
                  <pic:spPr>
                    <a:xfrm>
                      <a:off x="0" y="0"/>
                      <a:ext cx="5486400" cy="3710227"/>
                    </a:xfrm>
                    <a:prstGeom prst="rect"/>
                  </pic:spPr>
                </pic:pic>
              </a:graphicData>
            </a:graphic>
          </wp:inline>
        </w:drawing>
      </w:r>
    </w:p>
    <w:p>
      <w:pPr>
        <w:spacing w:before="40" w:after="280"/>
        <w:jc w:val="center"/>
      </w:pPr>
      <w:r>
        <w:rPr>
          <w:rFonts w:ascii="Segoe UI" w:hAnsi="Segoe UI"/>
          <w:b/>
          <w:i/>
          <w:color w:val="2F3874"/>
          <w:sz w:val="19"/>
        </w:rPr>
        <w:t>Figure 3.2 — PowerAMC / PowerDesigner — Modèle Logique de Données (MLD Relationnel SGBD)</w:t>
      </w:r>
    </w:p>
    <w:p>
      <w:pPr>
        <w:spacing w:before="40" w:after="100" w:line="276" w:lineRule="auto"/>
      </w:pPr>
      <w:r>
        <w:rPr>
          <w:b/>
        </w:rPr>
        <w:t>Figure 3.2 — PowerAMC / PowerDesigner — Modèle Logique de Données (MLD Relationnel SGBD)</w:t>
      </w:r>
    </w:p>
    <w:p>
      <w:pPr>
        <w:spacing w:before="320" w:after="120"/>
      </w:pPr>
      <w:r>
        <w:rPr>
          <w:rFonts w:ascii="Segoe UI" w:hAnsi="Segoe UI"/>
          <w:b/>
          <w:color w:val="B92721"/>
          <w:sz w:val="27"/>
        </w:rPr>
        <w:t>3.4 PowerAMC — Diagramme de Classes UML</w:t>
      </w:r>
    </w:p>
    <w:p>
      <w:pPr>
        <w:spacing w:before="240" w:after="80"/>
        <w:jc w:val="center"/>
      </w:pPr>
      <w:r>
        <w:drawing>
          <wp:inline xmlns:a="http://schemas.openxmlformats.org/drawingml/2006/main" xmlns:pic="http://schemas.openxmlformats.org/drawingml/2006/picture">
            <wp:extent cx="5486400" cy="3848669"/>
            <wp:docPr id="15" name="Picture 15"/>
            <wp:cNvGraphicFramePr>
              <a:graphicFrameLocks noChangeAspect="1"/>
            </wp:cNvGraphicFramePr>
            <a:graphic>
              <a:graphicData uri="http://schemas.openxmlformats.org/drawingml/2006/picture">
                <pic:pic>
                  <pic:nvPicPr>
                    <pic:cNvPr id="0" name="diagram_class.png"/>
                    <pic:cNvPicPr/>
                  </pic:nvPicPr>
                  <pic:blipFill>
                    <a:blip r:embed="rId24"/>
                    <a:stretch>
                      <a:fillRect/>
                    </a:stretch>
                  </pic:blipFill>
                  <pic:spPr>
                    <a:xfrm>
                      <a:off x="0" y="0"/>
                      <a:ext cx="5486400" cy="3848669"/>
                    </a:xfrm>
                    <a:prstGeom prst="rect"/>
                  </pic:spPr>
                </pic:pic>
              </a:graphicData>
            </a:graphic>
          </wp:inline>
        </w:drawing>
      </w:r>
    </w:p>
    <w:p>
      <w:pPr>
        <w:spacing w:before="40" w:after="280"/>
        <w:jc w:val="center"/>
      </w:pPr>
      <w:r>
        <w:rPr>
          <w:rFonts w:ascii="Segoe UI" w:hAnsi="Segoe UI"/>
          <w:b/>
          <w:i/>
          <w:color w:val="2F3874"/>
          <w:sz w:val="19"/>
        </w:rPr>
        <w:t>Figure 3.3 — Diagramme de Classes UML — Modèle Métier GMA LAB</w:t>
      </w:r>
    </w:p>
    <w:p>
      <w:pPr>
        <w:spacing w:before="40" w:after="100" w:line="276" w:lineRule="auto"/>
      </w:pPr>
      <w:r>
        <w:rPr>
          <w:b/>
        </w:rPr>
        <w:t>Figure 3.3 — Diagramme de Classes UML — Modèle Métier GMA LAB</w:t>
      </w:r>
    </w:p>
    <w:p>
      <w:pPr>
        <w:spacing w:before="320" w:after="120"/>
      </w:pPr>
      <w:r>
        <w:rPr>
          <w:rFonts w:ascii="Segoe UI" w:hAnsi="Segoe UI"/>
          <w:b/>
          <w:color w:val="B92721"/>
          <w:sz w:val="27"/>
        </w:rPr>
        <w:t>3.5 PowerAMC — Diagramme de Cas d'Utilisation UML</w:t>
      </w:r>
    </w:p>
    <w:p>
      <w:pPr>
        <w:spacing w:before="240" w:after="80"/>
        <w:jc w:val="center"/>
      </w:pPr>
      <w:r>
        <w:drawing>
          <wp:inline xmlns:a="http://schemas.openxmlformats.org/drawingml/2006/main" xmlns:pic="http://schemas.openxmlformats.org/drawingml/2006/picture">
            <wp:extent cx="5486400" cy="3572540"/>
            <wp:docPr id="16" name="Picture 16"/>
            <wp:cNvGraphicFramePr>
              <a:graphicFrameLocks noChangeAspect="1"/>
            </wp:cNvGraphicFramePr>
            <a:graphic>
              <a:graphicData uri="http://schemas.openxmlformats.org/drawingml/2006/picture">
                <pic:pic>
                  <pic:nvPicPr>
                    <pic:cNvPr id="0" name="diagram_usecase.png"/>
                    <pic:cNvPicPr/>
                  </pic:nvPicPr>
                  <pic:blipFill>
                    <a:blip r:embed="rId25"/>
                    <a:stretch>
                      <a:fillRect/>
                    </a:stretch>
                  </pic:blipFill>
                  <pic:spPr>
                    <a:xfrm>
                      <a:off x="0" y="0"/>
                      <a:ext cx="5486400" cy="3572540"/>
                    </a:xfrm>
                    <a:prstGeom prst="rect"/>
                  </pic:spPr>
                </pic:pic>
              </a:graphicData>
            </a:graphic>
          </wp:inline>
        </w:drawing>
      </w:r>
    </w:p>
    <w:p>
      <w:pPr>
        <w:spacing w:before="40" w:after="280"/>
        <w:jc w:val="center"/>
      </w:pPr>
      <w:r>
        <w:rPr>
          <w:rFonts w:ascii="Segoe UI" w:hAnsi="Segoe UI"/>
          <w:b/>
          <w:i/>
          <w:color w:val="2F3874"/>
          <w:sz w:val="19"/>
        </w:rPr>
        <w:t>Figure 3.4 — Diagramme de Cas d'Utilisation UML — GMA LAB (Fab Lab Universiapolis)</w:t>
      </w:r>
    </w:p>
    <w:p>
      <w:pPr>
        <w:spacing w:before="40" w:after="100" w:line="276" w:lineRule="auto"/>
      </w:pPr>
      <w:r>
        <w:rPr>
          <w:b/>
        </w:rPr>
        <w:t>Figure 3.4 — Diagramme de Cas d'Utilisation UML — GMA LAB (Fab Lab Universiapolis)</w:t>
      </w:r>
    </w:p>
    <w:p>
      <w:pPr>
        <w:spacing w:before="320" w:after="120"/>
      </w:pPr>
      <w:r>
        <w:rPr>
          <w:rFonts w:ascii="Segoe UI" w:hAnsi="Segoe UI"/>
          <w:b/>
          <w:color w:val="B92721"/>
          <w:sz w:val="27"/>
        </w:rPr>
        <w:t>3.6 PowerAMC — Diagramme de Séquence Système</w:t>
      </w:r>
    </w:p>
    <w:p>
      <w:pPr>
        <w:spacing w:before="240" w:after="80"/>
        <w:jc w:val="center"/>
      </w:pPr>
      <w:r>
        <w:drawing>
          <wp:inline xmlns:a="http://schemas.openxmlformats.org/drawingml/2006/main" xmlns:pic="http://schemas.openxmlformats.org/drawingml/2006/picture">
            <wp:extent cx="5486400" cy="3359888"/>
            <wp:docPr id="17" name="Picture 17"/>
            <wp:cNvGraphicFramePr>
              <a:graphicFrameLocks noChangeAspect="1"/>
            </wp:cNvGraphicFramePr>
            <a:graphic>
              <a:graphicData uri="http://schemas.openxmlformats.org/drawingml/2006/picture">
                <pic:pic>
                  <pic:nvPicPr>
                    <pic:cNvPr id="0" name="diagram_sequence.png"/>
                    <pic:cNvPicPr/>
                  </pic:nvPicPr>
                  <pic:blipFill>
                    <a:blip r:embed="rId26"/>
                    <a:stretch>
                      <a:fillRect/>
                    </a:stretch>
                  </pic:blipFill>
                  <pic:spPr>
                    <a:xfrm>
                      <a:off x="0" y="0"/>
                      <a:ext cx="5486400" cy="3359888"/>
                    </a:xfrm>
                    <a:prstGeom prst="rect"/>
                  </pic:spPr>
                </pic:pic>
              </a:graphicData>
            </a:graphic>
          </wp:inline>
        </w:drawing>
      </w:r>
    </w:p>
    <w:p>
      <w:pPr>
        <w:spacing w:before="40" w:after="280"/>
        <w:jc w:val="center"/>
      </w:pPr>
      <w:r>
        <w:rPr>
          <w:rFonts w:ascii="Segoe UI" w:hAnsi="Segoe UI"/>
          <w:b/>
          <w:i/>
          <w:color w:val="2F3874"/>
          <w:sz w:val="19"/>
        </w:rPr>
        <w:t>Figure 3.5 — Diagramme de Séquence UML — Traitement d'un Bon de Travail &amp; PDF</w:t>
      </w:r>
    </w:p>
    <w:p>
      <w:pPr>
        <w:spacing w:before="40" w:after="100" w:line="276" w:lineRule="auto"/>
      </w:pPr>
      <w:r>
        <w:rPr>
          <w:b/>
        </w:rPr>
        <w:t>Figure 3.5 — Diagramme de Séquence UML — Traitement d'un Bon de Travail &amp; PDF</w:t>
      </w:r>
    </w:p>
    <w:p>
      <w:pPr>
        <w:spacing w:before="320" w:after="120"/>
      </w:pPr>
      <w:r>
        <w:rPr>
          <w:rFonts w:ascii="Segoe UI" w:hAnsi="Segoe UI"/>
          <w:b/>
          <w:color w:val="B92721"/>
          <w:sz w:val="27"/>
        </w:rPr>
        <w:t>3.7 PowerAMC — Diagramme de Flux de Données (DFD Niveau 1)</w:t>
      </w:r>
    </w:p>
    <w:p>
      <w:pPr>
        <w:spacing w:before="240" w:after="80"/>
        <w:jc w:val="center"/>
      </w:pPr>
      <w:r>
        <w:drawing>
          <wp:inline xmlns:a="http://schemas.openxmlformats.org/drawingml/2006/main" xmlns:pic="http://schemas.openxmlformats.org/drawingml/2006/picture">
            <wp:extent cx="5486400" cy="3234519"/>
            <wp:docPr id="18" name="Picture 18"/>
            <wp:cNvGraphicFramePr>
              <a:graphicFrameLocks noChangeAspect="1"/>
            </wp:cNvGraphicFramePr>
            <a:graphic>
              <a:graphicData uri="http://schemas.openxmlformats.org/drawingml/2006/picture">
                <pic:pic>
                  <pic:nvPicPr>
                    <pic:cNvPr id="0" name="diagram_dfd.png"/>
                    <pic:cNvPicPr/>
                  </pic:nvPicPr>
                  <pic:blipFill>
                    <a:blip r:embed="rId27"/>
                    <a:stretch>
                      <a:fillRect/>
                    </a:stretch>
                  </pic:blipFill>
                  <pic:spPr>
                    <a:xfrm>
                      <a:off x="0" y="0"/>
                      <a:ext cx="5486400" cy="3234519"/>
                    </a:xfrm>
                    <a:prstGeom prst="rect"/>
                  </pic:spPr>
                </pic:pic>
              </a:graphicData>
            </a:graphic>
          </wp:inline>
        </w:drawing>
      </w:r>
    </w:p>
    <w:p>
      <w:pPr>
        <w:spacing w:before="40" w:after="280"/>
        <w:jc w:val="center"/>
      </w:pPr>
      <w:r>
        <w:rPr>
          <w:rFonts w:ascii="Segoe UI" w:hAnsi="Segoe UI"/>
          <w:b/>
          <w:i/>
          <w:color w:val="2F3874"/>
          <w:sz w:val="19"/>
        </w:rPr>
        <w:t>Figure 3.8 — Diagramme de Flux de Données (DFD Niveau 1) — Système GMA LAB</w:t>
      </w:r>
    </w:p>
    <w:p>
      <w:pPr>
        <w:spacing w:before="40" w:after="100" w:line="276" w:lineRule="auto"/>
      </w:pPr>
      <w:r>
        <w:rPr>
          <w:b/>
        </w:rPr>
        <w:t>Figure 3.8 — Diagramme de Flux de Données (DFD Niveau 1) — Système GMA LAB</w:t>
      </w:r>
    </w:p>
    <w:p>
      <w:pPr>
        <w:spacing w:before="320" w:after="120"/>
      </w:pPr>
      <w:r>
        <w:rPr>
          <w:rFonts w:ascii="Segoe UI" w:hAnsi="Segoe UI"/>
          <w:b/>
          <w:color w:val="B92721"/>
          <w:sz w:val="27"/>
        </w:rPr>
        <w:t>3.8 Architecture technique globale de la solution</w:t>
      </w:r>
    </w:p>
    <w:p>
      <w:pPr>
        <w:spacing w:before="240" w:after="80"/>
        <w:jc w:val="center"/>
      </w:pPr>
      <w:r>
        <w:drawing>
          <wp:inline xmlns:a="http://schemas.openxmlformats.org/drawingml/2006/main" xmlns:pic="http://schemas.openxmlformats.org/drawingml/2006/picture">
            <wp:extent cx="5486400" cy="3274142"/>
            <wp:docPr id="19" name="Picture 19"/>
            <wp:cNvGraphicFramePr>
              <a:graphicFrameLocks noChangeAspect="1"/>
            </wp:cNvGraphicFramePr>
            <a:graphic>
              <a:graphicData uri="http://schemas.openxmlformats.org/drawingml/2006/picture">
                <pic:pic>
                  <pic:nvPicPr>
                    <pic:cNvPr id="0" name="diagram_architecture.png"/>
                    <pic:cNvPicPr/>
                  </pic:nvPicPr>
                  <pic:blipFill>
                    <a:blip r:embed="rId28"/>
                    <a:stretch>
                      <a:fillRect/>
                    </a:stretch>
                  </pic:blipFill>
                  <pic:spPr>
                    <a:xfrm>
                      <a:off x="0" y="0"/>
                      <a:ext cx="5486400" cy="3274142"/>
                    </a:xfrm>
                    <a:prstGeom prst="rect"/>
                  </pic:spPr>
                </pic:pic>
              </a:graphicData>
            </a:graphic>
          </wp:inline>
        </w:drawing>
      </w:r>
    </w:p>
    <w:p>
      <w:pPr>
        <w:spacing w:before="40" w:after="280"/>
        <w:jc w:val="center"/>
      </w:pPr>
      <w:r>
        <w:rPr>
          <w:rFonts w:ascii="Segoe UI" w:hAnsi="Segoe UI"/>
          <w:b/>
          <w:i/>
          <w:color w:val="2F3874"/>
          <w:sz w:val="19"/>
        </w:rPr>
        <w:t>Figure 3.9 — Diagramme d'Architecture Technique Global — Solution GMA LAB</w:t>
      </w:r>
    </w:p>
    <w:p>
      <w:pPr>
        <w:spacing w:before="240" w:after="80"/>
        <w:jc w:val="center"/>
      </w:pPr>
      <w:r>
        <w:drawing>
          <wp:inline xmlns:a="http://schemas.openxmlformats.org/drawingml/2006/main" xmlns:pic="http://schemas.openxmlformats.org/drawingml/2006/picture">
            <wp:extent cx="5486400" cy="2720148"/>
            <wp:docPr id="20" name="Picture 20"/>
            <wp:cNvGraphicFramePr>
              <a:graphicFrameLocks noChangeAspect="1"/>
            </wp:cNvGraphicFramePr>
            <a:graphic>
              <a:graphicData uri="http://schemas.openxmlformats.org/drawingml/2006/picture">
                <pic:pic>
                  <pic:nvPicPr>
                    <pic:cNvPr id="0" name="diagram_state.png"/>
                    <pic:cNvPicPr/>
                  </pic:nvPicPr>
                  <pic:blipFill>
                    <a:blip r:embed="rId29"/>
                    <a:stretch>
                      <a:fillRect/>
                    </a:stretch>
                  </pic:blipFill>
                  <pic:spPr>
                    <a:xfrm>
                      <a:off x="0" y="0"/>
                      <a:ext cx="5486400" cy="2720148"/>
                    </a:xfrm>
                    <a:prstGeom prst="rect"/>
                  </pic:spPr>
                </pic:pic>
              </a:graphicData>
            </a:graphic>
          </wp:inline>
        </w:drawing>
      </w:r>
    </w:p>
    <w:p>
      <w:pPr>
        <w:spacing w:before="40" w:after="280"/>
        <w:jc w:val="center"/>
      </w:pPr>
      <w:r>
        <w:rPr>
          <w:rFonts w:ascii="Segoe UI" w:hAnsi="Segoe UI"/>
          <w:b/>
          <w:i/>
          <w:color w:val="2F3874"/>
          <w:sz w:val="19"/>
        </w:rPr>
        <w:t>Figure 3.7 — Diagramme d'États-Transitions — Cycle de vie d'un Bon de Travail (OT)</w:t>
      </w:r>
    </w:p>
    <w:p>
      <w:pPr>
        <w:spacing w:before="240" w:after="80"/>
        <w:jc w:val="center"/>
      </w:pPr>
      <w:r>
        <w:drawing>
          <wp:inline xmlns:a="http://schemas.openxmlformats.org/drawingml/2006/main" xmlns:pic="http://schemas.openxmlformats.org/drawingml/2006/picture">
            <wp:extent cx="5486400" cy="3997842"/>
            <wp:docPr id="21" name="Picture 21"/>
            <wp:cNvGraphicFramePr>
              <a:graphicFrameLocks noChangeAspect="1"/>
            </wp:cNvGraphicFramePr>
            <a:graphic>
              <a:graphicData uri="http://schemas.openxmlformats.org/drawingml/2006/picture">
                <pic:pic>
                  <pic:nvPicPr>
                    <pic:cNvPr id="0" name="diagram_activity.png"/>
                    <pic:cNvPicPr/>
                  </pic:nvPicPr>
                  <pic:blipFill>
                    <a:blip r:embed="rId30"/>
                    <a:stretch>
                      <a:fillRect/>
                    </a:stretch>
                  </pic:blipFill>
                  <pic:spPr>
                    <a:xfrm>
                      <a:off x="0" y="0"/>
                      <a:ext cx="5486400" cy="3997842"/>
                    </a:xfrm>
                    <a:prstGeom prst="rect"/>
                  </pic:spPr>
                </pic:pic>
              </a:graphicData>
            </a:graphic>
          </wp:inline>
        </w:drawing>
      </w:r>
    </w:p>
    <w:p>
      <w:pPr>
        <w:spacing w:before="40" w:after="280"/>
        <w:jc w:val="center"/>
      </w:pPr>
      <w:r>
        <w:rPr>
          <w:rFonts w:ascii="Segoe UI" w:hAnsi="Segoe UI"/>
          <w:b/>
          <w:i/>
          <w:color w:val="2F3874"/>
          <w:sz w:val="19"/>
        </w:rPr>
        <w:t>Figure 3.6 — Diagramme d'Activité UML — Processus de Traitement de Maintenance</w:t>
      </w:r>
    </w:p>
    <w:p>
      <w:pPr>
        <w:spacing w:before="40" w:after="100" w:line="276" w:lineRule="auto"/>
      </w:pPr>
      <w:r>
        <w:rPr>
          <w:b/>
        </w:rPr>
        <w:t>Figure 3.9 — Diagramme d'Architecture Technique Global — Solution GMA LAB</w:t>
      </w:r>
    </w:p>
    <w:p>
      <w:r>
        <w:br w:type="page"/>
      </w:r>
    </w:p>
    <w:p>
      <w:pPr>
        <w:spacing w:before="480" w:after="280"/>
        <w:jc w:val="center"/>
        <w:pBdr>
          <w:top w:val="single" w:sz="12" w:space="6" w:color="B92721"/>
          <w:bottom w:val="single" w:sz="18" w:space="6" w:color="2F3874"/>
        </w:pBdr>
      </w:pPr>
      <w:r>
        <w:rPr>
          <w:rFonts w:ascii="Segoe UI" w:hAnsi="Segoe UI"/>
          <w:b/>
          <w:color w:val="2F3874"/>
          <w:sz w:val="36"/>
        </w:rPr>
        <w:t>CHAPITRE 6 — GUIDE D'UTILISATION ET DÉMONSTRATION PAS-À-PAS DE L'APPLICATION</w:t>
      </w:r>
    </w:p>
    <w:p>
      <w:pPr>
        <w:spacing w:before="40" w:after="100" w:line="276" w:lineRule="auto"/>
      </w:pPr>
      <w:r>
        <w:t xml:space="preserve">Ce chapitre constitue le </w:t>
      </w:r>
      <w:r>
        <w:rPr>
          <w:b/>
        </w:rPr>
        <w:t>Guide Pratique d'Utilisation</w:t>
      </w:r>
      <w:r>
        <w:t xml:space="preserve"> destiné aux nouveaux utilisateurs (techniciens, responsables d'atelier et étudiants) travaillant au Fab Lab. Chaque interface est présentée de manière totalement dégagée et lisible (sans fenêtres popups ni alertes d'invalidation), accompagnée d'une procédure d'utilisation étape par étape.</w:t>
      </w:r>
    </w:p>
    <w:p>
      <w:pPr>
        <w:spacing w:before="320" w:after="120"/>
      </w:pPr>
      <w:r>
        <w:rPr>
          <w:rFonts w:ascii="Segoe UI" w:hAnsi="Segoe UI"/>
          <w:b/>
          <w:color w:val="B92721"/>
          <w:sz w:val="27"/>
        </w:rPr>
        <w:t>6.1 Guide 1 — Tableau de bord décisionnel (Dashboard &amp; KPIs temps réel)</w:t>
      </w:r>
    </w:p>
    <w:p>
      <w:pPr>
        <w:spacing w:before="240" w:after="80"/>
        <w:jc w:val="center"/>
      </w:pPr>
      <w:r>
        <w:drawing>
          <wp:inline xmlns:a="http://schemas.openxmlformats.org/drawingml/2006/main" xmlns:pic="http://schemas.openxmlformats.org/drawingml/2006/picture">
            <wp:extent cx="5486400" cy="3360420"/>
            <wp:docPr id="22" name="Picture 22"/>
            <wp:cNvGraphicFramePr>
              <a:graphicFrameLocks noChangeAspect="1"/>
            </wp:cNvGraphicFramePr>
            <a:graphic>
              <a:graphicData uri="http://schemas.openxmlformats.org/drawingml/2006/picture">
                <pic:pic>
                  <pic:nvPicPr>
                    <pic:cNvPr id="0" name="screenshot_dashboard.png"/>
                    <pic:cNvPicPr/>
                  </pic:nvPicPr>
                  <pic:blipFill>
                    <a:blip r:embed="rId31"/>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6.1 — Interface du Tableau de Bord décisionnel de l'application GMA LAB</w:t>
      </w:r>
    </w:p>
    <w:p>
      <w:pPr>
        <w:spacing w:before="40" w:after="100" w:line="276" w:lineRule="auto"/>
      </w:pPr>
      <w:r>
        <w:rPr>
          <w:b/>
        </w:rPr>
        <w:t>Figure 6.1 — Interface du Tableau de Bord décisionnel de l'application GMA LAB</w:t>
      </w:r>
    </w:p>
    <w:p>
      <w:pPr>
        <w:spacing w:before="240" w:after="80"/>
      </w:pPr>
      <w:r>
        <w:rPr>
          <w:rFonts w:ascii="Segoe UI" w:hAnsi="Segoe UI"/>
          <w:b/>
          <w:color w:val="2F3874"/>
          <w:sz w:val="23"/>
        </w:rPr>
        <w:t>🎯 Rôle du module :</w:t>
      </w:r>
    </w:p>
    <w:p>
      <w:pPr>
        <w:spacing w:before="40" w:after="100" w:line="276" w:lineRule="auto"/>
      </w:pPr>
      <w:r>
        <w:t>Offrir au nouvel utilisateur une vue synthétique et instantanée sur l'état général des équipements, les pannes actives et les indicateurs clés de performance (MTBF, MTTR, Disponibilité %).</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Connexion à l'application :</w:t>
      </w:r>
      <w:r>
        <w:t xml:space="preserve"> Après authentification, l'utilisateur arrive automatiquement sur le Tableau de Bord.</w:t>
      </w:r>
    </w:p>
    <w:p>
      <w:pPr>
        <w:pStyle w:val="ListNumber"/>
        <w:spacing w:before="20" w:after="60" w:line="276" w:lineRule="auto"/>
      </w:pPr>
      <w:r>
        <w:rPr>
          <w:b/>
        </w:rPr>
        <w:t>Étape 2 — Lecture des indicateurs clés (En-tête supérieur) :</w:t>
      </w:r>
    </w:p>
    <w:p>
      <w:pPr>
        <w:pStyle w:val="ListBullet"/>
        <w:spacing w:before="20" w:after="60" w:line="276" w:lineRule="auto"/>
      </w:pPr>
      <w:r>
        <w:rPr>
          <w:b/>
        </w:rPr>
        <w:t>Cartes supérieures :</w:t>
      </w:r>
      <w:r>
        <w:t xml:space="preserve"> Vérifier le nombre de machines en panne (badge rouge) et les alertes de stock minimum.</w:t>
      </w:r>
    </w:p>
    <w:p>
      <w:pPr>
        <w:pStyle w:val="ListNumber"/>
        <w:spacing w:before="20" w:after="60" w:line="276" w:lineRule="auto"/>
      </w:pPr>
      <w:r>
        <w:rPr>
          <w:b/>
        </w:rPr>
        <w:t>Étape 3 — Analyse des graphiques de performance :</w:t>
      </w:r>
    </w:p>
    <w:p>
      <w:pPr>
        <w:pStyle w:val="ListBullet"/>
        <w:spacing w:before="20" w:after="60" w:line="276" w:lineRule="auto"/>
      </w:pPr>
      <w:r>
        <w:t>Survoler les courbes Recharts avec le pointeur pour afficher le taux de disponibilité exact (%) et la durée moyenne avant panne (MTBF en heures).</w:t>
      </w:r>
    </w:p>
    <w:p>
      <w:pPr>
        <w:pStyle w:val="ListNumber"/>
        <w:spacing w:before="20" w:after="60" w:line="276" w:lineRule="auto"/>
      </w:pPr>
      <w:r>
        <w:rPr>
          <w:b/>
        </w:rPr>
        <w:t>Étape 4 — Navigation rapide :</w:t>
      </w:r>
    </w:p>
    <w:p>
      <w:pPr>
        <w:pStyle w:val="ListBullet"/>
        <w:spacing w:before="20" w:after="60" w:line="276" w:lineRule="auto"/>
      </w:pPr>
      <w:r>
        <w:t>Cliquer directement sur l'une des cartes d'accès rapide pour basculer vers le module souhaité (Parc machines, Stock ou Interventions).</w:t>
      </w:r>
    </w:p>
    <w:p>
      <w:pPr>
        <w:spacing w:before="240" w:after="80"/>
      </w:pPr>
      <w:r>
        <w:rPr>
          <w:rFonts w:ascii="Segoe UI" w:hAnsi="Segoe UI"/>
          <w:b/>
          <w:color w:val="2F3874"/>
          <w:sz w:val="23"/>
        </w:rPr>
        <w:t>✅ Résultat obtenu :</w:t>
      </w:r>
    </w:p>
    <w:p>
      <w:pPr>
        <w:spacing w:before="40" w:after="100" w:line="276" w:lineRule="auto"/>
      </w:pPr>
      <w:r>
        <w:t>Le nouvel utilisateur identifie immédiatement l'état du parc matériel et les urgences prioritaires de la journée.</w:t>
      </w:r>
    </w:p>
    <w:p>
      <w:pPr>
        <w:spacing w:before="320" w:after="120"/>
      </w:pPr>
      <w:r>
        <w:rPr>
          <w:rFonts w:ascii="Segoe UI" w:hAnsi="Segoe UI"/>
          <w:b/>
          <w:color w:val="B92721"/>
          <w:sz w:val="27"/>
        </w:rPr>
        <w:t>6.2 Guide 2 — Gestion et consultation du Parc d'Équipements (Machines)</w:t>
      </w:r>
    </w:p>
    <w:p>
      <w:pPr>
        <w:spacing w:before="240" w:after="80"/>
        <w:jc w:val="center"/>
      </w:pPr>
      <w:r>
        <w:drawing>
          <wp:inline xmlns:a="http://schemas.openxmlformats.org/drawingml/2006/main" xmlns:pic="http://schemas.openxmlformats.org/drawingml/2006/picture">
            <wp:extent cx="5486400" cy="3360420"/>
            <wp:docPr id="23" name="Picture 23"/>
            <wp:cNvGraphicFramePr>
              <a:graphicFrameLocks noChangeAspect="1"/>
            </wp:cNvGraphicFramePr>
            <a:graphic>
              <a:graphicData uri="http://schemas.openxmlformats.org/drawingml/2006/picture">
                <pic:pic>
                  <pic:nvPicPr>
                    <pic:cNvPr id="0" name="screenshot_machines.png"/>
                    <pic:cNvPicPr/>
                  </pic:nvPicPr>
                  <pic:blipFill>
                    <a:blip r:embed="rId32"/>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6.2 — Interface de gestion du Parc d'Équipements du Fab Lab</w:t>
      </w:r>
    </w:p>
    <w:p>
      <w:pPr>
        <w:spacing w:before="40" w:after="100" w:line="276" w:lineRule="auto"/>
      </w:pPr>
      <w:r>
        <w:rPr>
          <w:b/>
        </w:rPr>
        <w:t>Figure 6.2 — Interface de gestion du Parc d'Équipements du Fab Lab</w:t>
      </w:r>
    </w:p>
    <w:p>
      <w:pPr>
        <w:spacing w:before="240" w:after="80"/>
      </w:pPr>
      <w:r>
        <w:rPr>
          <w:rFonts w:ascii="Segoe UI" w:hAnsi="Segoe UI"/>
          <w:b/>
          <w:color w:val="2F3874"/>
          <w:sz w:val="23"/>
        </w:rPr>
        <w:t>🎯 Rôle du module :</w:t>
      </w:r>
    </w:p>
    <w:p>
      <w:pPr>
        <w:spacing w:before="40" w:after="100" w:line="276" w:lineRule="auto"/>
      </w:pPr>
      <w:r>
        <w:t>Centraliser l'inventaire physique des 70+ machines et équipements du Fab Lab, suivre leur état de marche et consulter leur dossier technique.</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Accès au module :</w:t>
      </w:r>
      <w:r>
        <w:t xml:space="preserve"> Dans le menu latéral de gauche, cliquer sur </w:t>
      </w:r>
      <w:r>
        <w:rPr>
          <w:b/>
        </w:rPr>
        <w:t>"Parc Machines"</w:t>
      </w:r>
      <w:r>
        <w:t>.</w:t>
      </w:r>
    </w:p>
    <w:p>
      <w:pPr>
        <w:pStyle w:val="ListNumber"/>
        <w:spacing w:before="20" w:after="60" w:line="276" w:lineRule="auto"/>
      </w:pPr>
      <w:r>
        <w:rPr>
          <w:b/>
        </w:rPr>
        <w:t>Étape 2 — Recherche et filtrage d'un équipement :</w:t>
      </w:r>
    </w:p>
    <w:p>
      <w:pPr>
        <w:pStyle w:val="ListBullet"/>
        <w:spacing w:before="20" w:after="60" w:line="276" w:lineRule="auto"/>
      </w:pPr>
      <w:r>
        <w:t>Saisir le nom ou la référence de la machine (</w:t>
      </w:r>
      <w:r>
        <w:rPr>
          <w:rFonts w:ascii="Consolas" w:hAnsi="Consolas"/>
          <w:color w:val="B92721"/>
          <w:sz w:val="20"/>
        </w:rPr>
        <w:t>FL-009</w:t>
      </w:r>
      <w:r>
        <w:t xml:space="preserve">, </w:t>
      </w:r>
      <w:r>
        <w:rPr>
          <w:rFonts w:ascii="Consolas" w:hAnsi="Consolas"/>
          <w:color w:val="B92721"/>
          <w:sz w:val="20"/>
        </w:rPr>
        <w:t>FL-010</w:t>
      </w:r>
      <w:r>
        <w:t xml:space="preserve">, </w:t>
      </w:r>
      <w:r>
        <w:rPr>
          <w:rFonts w:ascii="Consolas" w:hAnsi="Consolas"/>
          <w:color w:val="B92721"/>
          <w:sz w:val="20"/>
        </w:rPr>
        <w:t>FL-068</w:t>
      </w:r>
      <w:r>
        <w:t>) dans la barre de recherche.</w:t>
      </w:r>
    </w:p>
    <w:p>
      <w:pPr>
        <w:pStyle w:val="ListBullet"/>
        <w:spacing w:before="20" w:after="60" w:line="276" w:lineRule="auto"/>
      </w:pPr>
      <w:r>
        <w:t>Utiliser le filtre d'atelier (Imprimantes 3D, CNC, Laser) ou de criticité (A, B, C).</w:t>
      </w:r>
    </w:p>
    <w:p>
      <w:pPr>
        <w:pStyle w:val="ListNumber"/>
        <w:spacing w:before="20" w:after="60" w:line="276" w:lineRule="auto"/>
      </w:pPr>
      <w:r>
        <w:rPr>
          <w:b/>
        </w:rPr>
        <w:t>Étape 3 — Signification des badges de statut :</w:t>
      </w:r>
    </w:p>
    <w:p>
      <w:pPr>
        <w:pStyle w:val="ListBullet"/>
        <w:spacing w:before="20" w:after="60" w:line="276" w:lineRule="auto"/>
      </w:pPr>
      <w:r>
        <w:rPr>
          <w:b/>
        </w:rPr>
        <w:t>Vert (Opérationnel) :</w:t>
      </w:r>
      <w:r>
        <w:t xml:space="preserve"> La machine est utilisable immédiatement.</w:t>
      </w:r>
    </w:p>
    <w:p>
      <w:pPr>
        <w:pStyle w:val="ListBullet"/>
        <w:spacing w:before="20" w:after="60" w:line="276" w:lineRule="auto"/>
      </w:pPr>
      <w:r>
        <w:rPr>
          <w:b/>
        </w:rPr>
        <w:t>Rouge (En Panne) :</w:t>
      </w:r>
      <w:r>
        <w:t xml:space="preserve"> La machine est arrêtée et nécessite un Bon de Travail.</w:t>
      </w:r>
    </w:p>
    <w:p>
      <w:pPr>
        <w:pStyle w:val="ListBullet"/>
        <w:spacing w:before="20" w:after="60" w:line="276" w:lineRule="auto"/>
      </w:pPr>
      <w:r>
        <w:rPr>
          <w:b/>
        </w:rPr>
        <w:t>Orange (En Maintenance) :</w:t>
      </w:r>
      <w:r>
        <w:t xml:space="preserve"> Une révision préventive est en cours.</w:t>
      </w:r>
    </w:p>
    <w:p>
      <w:pPr>
        <w:pStyle w:val="ListNumber"/>
        <w:spacing w:before="20" w:after="60" w:line="276" w:lineRule="auto"/>
      </w:pPr>
      <w:r>
        <w:rPr>
          <w:b/>
        </w:rPr>
        <w:t>Étape 4 — Consultation du dossier machine :</w:t>
      </w:r>
    </w:p>
    <w:p>
      <w:pPr>
        <w:pStyle w:val="ListBullet"/>
        <w:spacing w:before="20" w:after="60" w:line="276" w:lineRule="auto"/>
      </w:pPr>
      <w:r>
        <w:t>Cliquer sur la carte de la machine pour afficher l'historique des pannes passées et les pièces détachées rattachées.</w:t>
      </w:r>
    </w:p>
    <w:p>
      <w:pPr>
        <w:spacing w:before="240" w:after="80"/>
      </w:pPr>
      <w:r>
        <w:rPr>
          <w:rFonts w:ascii="Segoe UI" w:hAnsi="Segoe UI"/>
          <w:b/>
          <w:color w:val="2F3874"/>
          <w:sz w:val="23"/>
        </w:rPr>
        <w:t>✅ Résultat obtenu :</w:t>
      </w:r>
    </w:p>
    <w:p>
      <w:pPr>
        <w:spacing w:before="40" w:after="100" w:line="276" w:lineRule="auto"/>
      </w:pPr>
      <w:r>
        <w:t>Une visibilité instantanée sur la disponibilité du matériel avant de lancer un travail de fabrication au laboratoire.</w:t>
      </w:r>
    </w:p>
    <w:p>
      <w:pPr>
        <w:spacing w:before="320" w:after="120"/>
      </w:pPr>
      <w:r>
        <w:rPr>
          <w:rFonts w:ascii="Segoe UI" w:hAnsi="Segoe UI"/>
          <w:b/>
          <w:color w:val="B92721"/>
          <w:sz w:val="27"/>
        </w:rPr>
        <w:t>6.3 Guide 3 — Création d'Interventions et génération de Bons de Travail PDF</w:t>
      </w:r>
    </w:p>
    <w:p>
      <w:pPr>
        <w:spacing w:before="240" w:after="80"/>
        <w:jc w:val="center"/>
      </w:pPr>
      <w:r>
        <w:drawing>
          <wp:inline xmlns:a="http://schemas.openxmlformats.org/drawingml/2006/main" xmlns:pic="http://schemas.openxmlformats.org/drawingml/2006/picture">
            <wp:extent cx="5486400" cy="3360420"/>
            <wp:docPr id="24" name="Picture 24"/>
            <wp:cNvGraphicFramePr>
              <a:graphicFrameLocks noChangeAspect="1"/>
            </wp:cNvGraphicFramePr>
            <a:graphic>
              <a:graphicData uri="http://schemas.openxmlformats.org/drawingml/2006/picture">
                <pic:pic>
                  <pic:nvPicPr>
                    <pic:cNvPr id="0" name="screenshot_interventions.png"/>
                    <pic:cNvPicPr/>
                  </pic:nvPicPr>
                  <pic:blipFill>
                    <a:blip r:embed="rId33"/>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6.3 — Interface du module de Gestion des Interventions et Bons de Travail</w:t>
      </w:r>
    </w:p>
    <w:p>
      <w:pPr>
        <w:spacing w:before="40" w:after="100" w:line="276" w:lineRule="auto"/>
      </w:pPr>
      <w:r>
        <w:rPr>
          <w:b/>
        </w:rPr>
        <w:t>Figure 6.3 — Interface du module de Gestion des Interventions et Bons de Travail</w:t>
      </w:r>
    </w:p>
    <w:p>
      <w:pPr>
        <w:spacing w:before="240" w:after="80"/>
      </w:pPr>
      <w:r>
        <w:rPr>
          <w:rFonts w:ascii="Segoe UI" w:hAnsi="Segoe UI"/>
          <w:b/>
          <w:color w:val="2F3874"/>
          <w:sz w:val="23"/>
        </w:rPr>
        <w:t>🎯 Rôle du module :</w:t>
      </w:r>
    </w:p>
    <w:p>
      <w:pPr>
        <w:spacing w:before="40" w:after="100" w:line="276" w:lineRule="auto"/>
      </w:pPr>
      <w:r>
        <w:t>Saisir les Demandes d'Intervention (DI), suivre le déroulement des réparations et éditer les Bons de Travail (BT/OT) officiels au format PDF.</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Déclarer une panne :</w:t>
      </w:r>
      <w:r>
        <w:t xml:space="preserve"> Cliquer sur le bouton bleu </w:t>
      </w:r>
      <w:r>
        <w:rPr>
          <w:b/>
        </w:rPr>
        <w:t>"+ Nouveau Bon de Travail"</w:t>
      </w:r>
      <w:r>
        <w:t>.</w:t>
      </w:r>
    </w:p>
    <w:p>
      <w:pPr>
        <w:pStyle w:val="ListNumber"/>
        <w:spacing w:before="20" w:after="60" w:line="276" w:lineRule="auto"/>
      </w:pPr>
      <w:r>
        <w:rPr>
          <w:b/>
        </w:rPr>
        <w:t>Étape 2 — Renseigner le formulaire :</w:t>
      </w:r>
    </w:p>
    <w:p>
      <w:pPr>
        <w:pStyle w:val="ListBullet"/>
        <w:spacing w:before="20" w:after="60" w:line="276" w:lineRule="auto"/>
      </w:pPr>
      <w:r>
        <w:t>Sélectionner la machine concernée et préciser le type d'intervention (Corrective ou Préventive).</w:t>
      </w:r>
    </w:p>
    <w:p>
      <w:pPr>
        <w:pStyle w:val="ListBullet"/>
        <w:spacing w:before="20" w:after="60" w:line="276" w:lineRule="auto"/>
      </w:pPr>
      <w:r>
        <w:t>Indiquer le niveau de priorité (Basse, Moyenne, Urgente).</w:t>
      </w:r>
    </w:p>
    <w:p>
      <w:pPr>
        <w:pStyle w:val="ListBullet"/>
        <w:spacing w:before="20" w:after="60" w:line="276" w:lineRule="auto"/>
      </w:pPr>
      <w:r>
        <w:t xml:space="preserve">Décrire le problème constaté (ex: </w:t>
      </w:r>
      <w:r>
        <w:rPr>
          <w:i/>
        </w:rPr>
        <w:t>Buse obstruée sur Raise3D E2CF</w:t>
      </w:r>
      <w:r>
        <w:t>).</w:t>
      </w:r>
    </w:p>
    <w:p>
      <w:pPr>
        <w:pStyle w:val="ListNumber"/>
        <w:spacing w:before="20" w:after="60" w:line="276" w:lineRule="auto"/>
      </w:pPr>
      <w:r>
        <w:rPr>
          <w:b/>
        </w:rPr>
        <w:t>Étape 3 — Imputer les pièces et le temps :</w:t>
      </w:r>
    </w:p>
    <w:p>
      <w:pPr>
        <w:pStyle w:val="ListBullet"/>
        <w:spacing w:before="20" w:after="60" w:line="276" w:lineRule="auto"/>
      </w:pPr>
      <w:r>
        <w:t>Sélectionner les pièces prélevées dans le magasin et saisir la durée en heures.</w:t>
      </w:r>
    </w:p>
    <w:p>
      <w:pPr>
        <w:pStyle w:val="ListNumber"/>
        <w:spacing w:before="20" w:after="60" w:line="276" w:lineRule="auto"/>
      </w:pPr>
      <w:r>
        <w:rPr>
          <w:b/>
        </w:rPr>
        <w:t>Étape 4 — Valider et imprimer le PDF :</w:t>
      </w:r>
    </w:p>
    <w:p>
      <w:pPr>
        <w:pStyle w:val="ListBullet"/>
        <w:spacing w:before="20" w:after="60" w:line="276" w:lineRule="auto"/>
      </w:pPr>
      <w:r>
        <w:t xml:space="preserve">Une fois la réparation effectuée, apposer le visa du superviseur et cliquer sur l'icône </w:t>
      </w:r>
      <w:r>
        <w:rPr>
          <w:b/>
        </w:rPr>
        <w:t>"Télécharger PDF"</w:t>
      </w:r>
      <w:r>
        <w:t>.</w:t>
      </w:r>
    </w:p>
    <w:p>
      <w:pPr>
        <w:spacing w:before="240" w:after="80"/>
      </w:pPr>
      <w:r>
        <w:rPr>
          <w:rFonts w:ascii="Segoe UI" w:hAnsi="Segoe UI"/>
          <w:b/>
          <w:color w:val="2F3874"/>
          <w:sz w:val="23"/>
        </w:rPr>
        <w:t>✅ Résultat obtenu :</w:t>
      </w:r>
    </w:p>
    <w:p>
      <w:pPr>
        <w:spacing w:before="40" w:after="100" w:line="276" w:lineRule="auto"/>
      </w:pPr>
      <w:r>
        <w:t>Un document PDF propre et certifié généré automatiquement pour les archives du laboratoire.</w:t>
      </w:r>
    </w:p>
    <w:p>
      <w:pPr>
        <w:spacing w:before="320" w:after="120"/>
      </w:pPr>
      <w:r>
        <w:rPr>
          <w:rFonts w:ascii="Segoe UI" w:hAnsi="Segoe UI"/>
          <w:b/>
          <w:color w:val="B92721"/>
          <w:sz w:val="27"/>
        </w:rPr>
        <w:t>6.4 Guide 4 — Gestion du magasin et stock de pièces de rechange</w:t>
      </w:r>
    </w:p>
    <w:p>
      <w:pPr>
        <w:spacing w:before="240" w:after="80"/>
        <w:jc w:val="center"/>
      </w:pPr>
      <w:r>
        <w:drawing>
          <wp:inline xmlns:a="http://schemas.openxmlformats.org/drawingml/2006/main" xmlns:pic="http://schemas.openxmlformats.org/drawingml/2006/picture">
            <wp:extent cx="5486400" cy="3360420"/>
            <wp:docPr id="25" name="Picture 25"/>
            <wp:cNvGraphicFramePr>
              <a:graphicFrameLocks noChangeAspect="1"/>
            </wp:cNvGraphicFramePr>
            <a:graphic>
              <a:graphicData uri="http://schemas.openxmlformats.org/drawingml/2006/picture">
                <pic:pic>
                  <pic:nvPicPr>
                    <pic:cNvPr id="0" name="screenshot_stock.png"/>
                    <pic:cNvPicPr/>
                  </pic:nvPicPr>
                  <pic:blipFill>
                    <a:blip r:embed="rId34"/>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6.4 — Interface du Stock de Pièces de Rechange et gestion des seuils d'alerte</w:t>
      </w:r>
    </w:p>
    <w:p>
      <w:pPr>
        <w:spacing w:before="40" w:after="100" w:line="276" w:lineRule="auto"/>
      </w:pPr>
      <w:r>
        <w:rPr>
          <w:b/>
        </w:rPr>
        <w:t>Figure 6.4 — Interface du Stock de Pièces de Rechange et gestion des seuils d'alerte</w:t>
      </w:r>
    </w:p>
    <w:p>
      <w:pPr>
        <w:spacing w:before="240" w:after="80"/>
      </w:pPr>
      <w:r>
        <w:rPr>
          <w:rFonts w:ascii="Segoe UI" w:hAnsi="Segoe UI"/>
          <w:b/>
          <w:color w:val="2F3874"/>
          <w:sz w:val="23"/>
        </w:rPr>
        <w:t>🎯 Rôle du module :</w:t>
      </w:r>
    </w:p>
    <w:p>
      <w:pPr>
        <w:spacing w:before="40" w:after="100" w:line="276" w:lineRule="auto"/>
      </w:pPr>
      <w:r>
        <w:t>Gérer le stock des consommables et pièces détachées (buses, filtres, lentilles, courroies, huile) et prévenir les ruptures de stock.</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Accéder au magasin :</w:t>
      </w:r>
      <w:r>
        <w:t xml:space="preserve"> Cliquer sur </w:t>
      </w:r>
      <w:r>
        <w:rPr>
          <w:b/>
        </w:rPr>
        <w:t>"Stock &amp; Pièces"</w:t>
      </w:r>
      <w:r>
        <w:t xml:space="preserve"> dans le menu latéral.</w:t>
      </w:r>
    </w:p>
    <w:p>
      <w:pPr>
        <w:pStyle w:val="ListNumber"/>
        <w:spacing w:before="20" w:after="60" w:line="276" w:lineRule="auto"/>
      </w:pPr>
      <w:r>
        <w:rPr>
          <w:b/>
        </w:rPr>
        <w:t>Étape 2 — Consulter les niveaux de réserve :</w:t>
      </w:r>
    </w:p>
    <w:p>
      <w:pPr>
        <w:pStyle w:val="ListBullet"/>
        <w:spacing w:before="20" w:after="60" w:line="276" w:lineRule="auto"/>
      </w:pPr>
      <w:r>
        <w:t xml:space="preserve">Vérifier la colonne </w:t>
      </w:r>
      <w:r>
        <w:rPr>
          <w:b/>
        </w:rPr>
        <w:t>"Quantité en Stock"</w:t>
      </w:r>
      <w:r>
        <w:t xml:space="preserve"> et comparer avec le </w:t>
      </w:r>
      <w:r>
        <w:rPr>
          <w:b/>
        </w:rPr>
        <w:t>"Seuil Min"</w:t>
      </w:r>
      <w:r>
        <w:t>.</w:t>
      </w:r>
    </w:p>
    <w:p>
      <w:pPr>
        <w:pStyle w:val="ListBullet"/>
        <w:spacing w:before="20" w:after="60" w:line="276" w:lineRule="auto"/>
      </w:pPr>
      <w:r>
        <w:t>Si la quantité passe sous le seuil minimum, la ligne s'affiche en surbrillance rouge.</w:t>
      </w:r>
    </w:p>
    <w:p>
      <w:pPr>
        <w:pStyle w:val="ListNumber"/>
        <w:spacing w:before="20" w:after="60" w:line="276" w:lineRule="auto"/>
      </w:pPr>
      <w:r>
        <w:rPr>
          <w:b/>
        </w:rPr>
        <w:t>Étape 3 — Enregistrer une entrée de stock :</w:t>
      </w:r>
    </w:p>
    <w:p>
      <w:pPr>
        <w:pStyle w:val="ListBullet"/>
        <w:spacing w:before="20" w:after="60" w:line="276" w:lineRule="auto"/>
      </w:pPr>
      <w:r>
        <w:t xml:space="preserve">Cliquer sur le bouton </w:t>
      </w:r>
      <w:r>
        <w:rPr>
          <w:b/>
        </w:rPr>
        <w:t>"Réceptionner"</w:t>
      </w:r>
      <w:r>
        <w:t xml:space="preserve"> pour ajouter des pièces reçues suite à une livraison fournisseur.</w:t>
      </w:r>
    </w:p>
    <w:p>
      <w:pPr>
        <w:pStyle w:val="ListNumber"/>
        <w:spacing w:before="20" w:after="60" w:line="276" w:lineRule="auto"/>
      </w:pPr>
      <w:r>
        <w:rPr>
          <w:b/>
        </w:rPr>
        <w:t>Étape 4 — Déclencher une commande :</w:t>
      </w:r>
    </w:p>
    <w:p>
      <w:pPr>
        <w:pStyle w:val="ListBullet"/>
        <w:spacing w:before="20" w:after="60" w:line="276" w:lineRule="auto"/>
      </w:pPr>
      <w:r>
        <w:t xml:space="preserve">Cliquer sur </w:t>
      </w:r>
      <w:r>
        <w:rPr>
          <w:b/>
        </w:rPr>
        <w:t>"Commander"</w:t>
      </w:r>
      <w:r>
        <w:t xml:space="preserve"> sur une ligne en alerte pour transmettre la demande au fournisseur associé.</w:t>
      </w:r>
    </w:p>
    <w:p>
      <w:pPr>
        <w:spacing w:before="240" w:after="80"/>
      </w:pPr>
      <w:r>
        <w:rPr>
          <w:rFonts w:ascii="Segoe UI" w:hAnsi="Segoe UI"/>
          <w:b/>
          <w:color w:val="2F3874"/>
          <w:sz w:val="23"/>
        </w:rPr>
        <w:t>✅ Résultat obtenu :</w:t>
      </w:r>
    </w:p>
    <w:p>
      <w:pPr>
        <w:spacing w:before="40" w:after="100" w:line="276" w:lineRule="auto"/>
      </w:pPr>
      <w:r>
        <w:t>Une gestion rigoureuse des pièces de rechange assurant la continuité d'activité du laboratoire.</w:t>
      </w:r>
    </w:p>
    <w:p>
      <w:pPr>
        <w:spacing w:before="320" w:after="120"/>
      </w:pPr>
      <w:r>
        <w:rPr>
          <w:rFonts w:ascii="Segoe UI" w:hAnsi="Segoe UI"/>
          <w:b/>
          <w:color w:val="B92721"/>
          <w:sz w:val="27"/>
        </w:rPr>
        <w:t>6.5 Guide 5 — Répertoire et suivi des Fournisseurs</w:t>
      </w:r>
    </w:p>
    <w:p>
      <w:pPr>
        <w:spacing w:before="240" w:after="80"/>
        <w:jc w:val="center"/>
      </w:pPr>
      <w:r>
        <w:drawing>
          <wp:inline xmlns:a="http://schemas.openxmlformats.org/drawingml/2006/main" xmlns:pic="http://schemas.openxmlformats.org/drawingml/2006/picture">
            <wp:extent cx="5486400" cy="3360420"/>
            <wp:docPr id="26" name="Picture 26"/>
            <wp:cNvGraphicFramePr>
              <a:graphicFrameLocks noChangeAspect="1"/>
            </wp:cNvGraphicFramePr>
            <a:graphic>
              <a:graphicData uri="http://schemas.openxmlformats.org/drawingml/2006/picture">
                <pic:pic>
                  <pic:nvPicPr>
                    <pic:cNvPr id="0" name="screenshot_fournisseurs.png"/>
                    <pic:cNvPicPr/>
                  </pic:nvPicPr>
                  <pic:blipFill>
                    <a:blip r:embed="rId35"/>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6.5 — Interface du répertoire des Fournisseurs du Fab Lab</w:t>
      </w:r>
    </w:p>
    <w:p>
      <w:pPr>
        <w:spacing w:before="40" w:after="100" w:line="276" w:lineRule="auto"/>
      </w:pPr>
      <w:r>
        <w:rPr>
          <w:b/>
        </w:rPr>
        <w:t>Figure 6.5 — Interface du répertoire des Fournisseurs du Fab Lab</w:t>
      </w:r>
    </w:p>
    <w:p>
      <w:pPr>
        <w:spacing w:before="240" w:after="80"/>
      </w:pPr>
      <w:r>
        <w:rPr>
          <w:rFonts w:ascii="Segoe UI" w:hAnsi="Segoe UI"/>
          <w:b/>
          <w:color w:val="2F3874"/>
          <w:sz w:val="23"/>
        </w:rPr>
        <w:t>🎯 Rôle du module :</w:t>
      </w:r>
    </w:p>
    <w:p>
      <w:pPr>
        <w:spacing w:before="40" w:after="100" w:line="276" w:lineRule="auto"/>
      </w:pPr>
      <w:r>
        <w:t>Centraliser les coordonnées des 11 fournisseurs agréés du Fab Lab (</w:t>
      </w:r>
      <w:r>
        <w:rPr>
          <w:i/>
        </w:rPr>
        <w:t>Trotec</w:t>
      </w:r>
      <w:r>
        <w:t xml:space="preserve">, </w:t>
      </w:r>
      <w:r>
        <w:rPr>
          <w:i/>
        </w:rPr>
        <w:t>Formlabs</w:t>
      </w:r>
      <w:r>
        <w:t xml:space="preserve">, </w:t>
      </w:r>
      <w:r>
        <w:rPr>
          <w:i/>
        </w:rPr>
        <w:t>3D Distrib Maroc</w:t>
      </w:r>
      <w:r>
        <w:t>) et évaluer leurs délais de livraison.</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Consulter l'annuaire :</w:t>
      </w:r>
      <w:r>
        <w:t xml:space="preserve"> Ouvrir le module </w:t>
      </w:r>
      <w:r>
        <w:rPr>
          <w:b/>
        </w:rPr>
        <w:t>"Fournisseurs"</w:t>
      </w:r>
      <w:r>
        <w:t xml:space="preserve"> depuis le menu latéral.</w:t>
      </w:r>
    </w:p>
    <w:p>
      <w:pPr>
        <w:pStyle w:val="ListNumber"/>
        <w:spacing w:before="20" w:after="60" w:line="276" w:lineRule="auto"/>
      </w:pPr>
      <w:r>
        <w:rPr>
          <w:b/>
        </w:rPr>
        <w:t>Étape 2 — Trouver un spécialiste :</w:t>
      </w:r>
      <w:r>
        <w:t xml:space="preserve"> Utiliser la barre de recherche par domaine (ex: </w:t>
      </w:r>
      <w:r>
        <w:rPr>
          <w:i/>
        </w:rPr>
        <w:t>Résine 3D</w:t>
      </w:r>
      <w:r>
        <w:t xml:space="preserve">, </w:t>
      </w:r>
      <w:r>
        <w:rPr>
          <w:i/>
        </w:rPr>
        <w:t>Optique Laser</w:t>
      </w:r>
      <w:r>
        <w:t xml:space="preserve">, </w:t>
      </w:r>
      <w:r>
        <w:rPr>
          <w:i/>
        </w:rPr>
        <w:t>Outillage CNC</w:t>
      </w:r>
      <w:r>
        <w:t>).</w:t>
      </w:r>
    </w:p>
    <w:p>
      <w:pPr>
        <w:pStyle w:val="ListNumber"/>
        <w:spacing w:before="20" w:after="60" w:line="276" w:lineRule="auto"/>
      </w:pPr>
      <w:r>
        <w:rPr>
          <w:b/>
        </w:rPr>
        <w:t>Étape 3 — Consulter les détails d'un partenaire :</w:t>
      </w:r>
    </w:p>
    <w:p>
      <w:pPr>
        <w:pStyle w:val="ListBullet"/>
        <w:spacing w:before="20" w:after="60" w:line="276" w:lineRule="auto"/>
      </w:pPr>
      <w:r>
        <w:t>Vérifier le numéro de téléphone, l'email direct du contact et le délai moyen de livraison constaté.</w:t>
      </w:r>
    </w:p>
    <w:p>
      <w:pPr>
        <w:pStyle w:val="ListNumber"/>
        <w:spacing w:before="20" w:after="60" w:line="276" w:lineRule="auto"/>
      </w:pPr>
      <w:r>
        <w:rPr>
          <w:b/>
        </w:rPr>
        <w:t>Étape 4 — Passer commande :</w:t>
      </w:r>
      <w:r>
        <w:t xml:space="preserve"> Cliquer sur l'adresse email pour envoyer la demande de devis officielle.</w:t>
      </w:r>
    </w:p>
    <w:p>
      <w:pPr>
        <w:spacing w:before="240" w:after="80"/>
      </w:pPr>
      <w:r>
        <w:rPr>
          <w:rFonts w:ascii="Segoe UI" w:hAnsi="Segoe UI"/>
          <w:b/>
          <w:color w:val="2F3874"/>
          <w:sz w:val="23"/>
        </w:rPr>
        <w:t>✅ Résultat obtenu :</w:t>
      </w:r>
    </w:p>
    <w:p>
      <w:pPr>
        <w:spacing w:before="40" w:after="100" w:line="276" w:lineRule="auto"/>
      </w:pPr>
      <w:r>
        <w:t>Gain de temps lors des demandes de prix et suivi de la qualité de service des sous-traitants.</w:t>
      </w:r>
    </w:p>
    <w:p>
      <w:pPr>
        <w:spacing w:before="320" w:after="120"/>
      </w:pPr>
      <w:r>
        <w:rPr>
          <w:rFonts w:ascii="Segoe UI" w:hAnsi="Segoe UI"/>
          <w:b/>
          <w:color w:val="B92721"/>
          <w:sz w:val="27"/>
        </w:rPr>
        <w:t>6.6 Guide 6 — Matrice d'analyse des risques AMDEC &amp; calcul du NPR</w:t>
      </w:r>
    </w:p>
    <w:p>
      <w:pPr>
        <w:spacing w:before="240" w:after="80"/>
        <w:jc w:val="center"/>
      </w:pPr>
      <w:r>
        <w:drawing>
          <wp:inline xmlns:a="http://schemas.openxmlformats.org/drawingml/2006/main" xmlns:pic="http://schemas.openxmlformats.org/drawingml/2006/picture">
            <wp:extent cx="5486400" cy="3360420"/>
            <wp:docPr id="27" name="Picture 27"/>
            <wp:cNvGraphicFramePr>
              <a:graphicFrameLocks noChangeAspect="1"/>
            </wp:cNvGraphicFramePr>
            <a:graphic>
              <a:graphicData uri="http://schemas.openxmlformats.org/drawingml/2006/picture">
                <pic:pic>
                  <pic:nvPicPr>
                    <pic:cNvPr id="0" name="screenshot_amdec.png"/>
                    <pic:cNvPicPr/>
                  </pic:nvPicPr>
                  <pic:blipFill>
                    <a:blip r:embed="rId36"/>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6.6 — Interface du module AMDEC et matrice de criticité des défaillances</w:t>
      </w:r>
    </w:p>
    <w:p>
      <w:pPr>
        <w:spacing w:before="40" w:after="100" w:line="276" w:lineRule="auto"/>
      </w:pPr>
      <w:r>
        <w:rPr>
          <w:b/>
        </w:rPr>
        <w:t>Figure 6.6 — Interface du module AMDEC et matrice de criticité des défaillances</w:t>
      </w:r>
    </w:p>
    <w:p>
      <w:pPr>
        <w:spacing w:before="240" w:after="80"/>
      </w:pPr>
      <w:r>
        <w:rPr>
          <w:rFonts w:ascii="Segoe UI" w:hAnsi="Segoe UI"/>
          <w:b/>
          <w:color w:val="2F3874"/>
          <w:sz w:val="23"/>
        </w:rPr>
        <w:t>🎯 Rôle du module :</w:t>
      </w:r>
    </w:p>
    <w:p>
      <w:pPr>
        <w:spacing w:before="40" w:after="100" w:line="276" w:lineRule="auto"/>
      </w:pPr>
      <w:r>
        <w:t xml:space="preserve">Évaluer la criticité des pannes selon la méthode scientifique AMDEC et calculer automatiquement le </w:t>
      </w:r>
      <w:r>
        <w:rPr>
          <w:b/>
        </w:rPr>
        <w:t>Nombre de Priorité de Risque (NPR)</w:t>
      </w:r>
      <w:r>
        <w:t>.</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Sélectionner l'équipement :</w:t>
      </w:r>
      <w:r>
        <w:t xml:space="preserve"> Choisir la machine à analyser dans le module </w:t>
      </w:r>
      <w:r>
        <w:rPr>
          <w:b/>
        </w:rPr>
        <w:t>"AMDEC &amp; Criticité"</w:t>
      </w:r>
      <w:r>
        <w:t>.</w:t>
      </w:r>
    </w:p>
    <w:p>
      <w:pPr>
        <w:pStyle w:val="ListNumber"/>
        <w:spacing w:before="20" w:after="60" w:line="276" w:lineRule="auto"/>
      </w:pPr>
      <w:r>
        <w:rPr>
          <w:b/>
        </w:rPr>
        <w:t>Étape 2 — Définir le mode de défaillance :</w:t>
      </w:r>
      <w:r>
        <w:t xml:space="preserve"> Identifier le symptôme, la cause probable et l'effet produit.</w:t>
      </w:r>
    </w:p>
    <w:p>
      <w:pPr>
        <w:pStyle w:val="ListNumber"/>
        <w:spacing w:before="20" w:after="60" w:line="276" w:lineRule="auto"/>
      </w:pPr>
      <w:r>
        <w:rPr>
          <w:b/>
        </w:rPr>
        <w:t>Étape 3 — Assigner les notes $G, F, D$ (de 1 à 10) :</w:t>
      </w:r>
    </w:p>
    <w:p>
      <w:pPr>
        <w:pStyle w:val="ListBullet"/>
        <w:spacing w:before="20" w:after="60" w:line="276" w:lineRule="auto"/>
      </w:pPr>
      <w:r>
        <w:rPr>
          <w:b/>
        </w:rPr>
        <w:t>Gravité ($G$) :</w:t>
      </w:r>
      <w:r>
        <w:t xml:space="preserve"> Impact de la panne sur la production.</w:t>
      </w:r>
    </w:p>
    <w:p>
      <w:pPr>
        <w:pStyle w:val="ListBullet"/>
        <w:spacing w:before="20" w:after="60" w:line="276" w:lineRule="auto"/>
      </w:pPr>
      <w:r>
        <w:rPr>
          <w:b/>
        </w:rPr>
        <w:t>Fréquence ($F$) :</w:t>
      </w:r>
      <w:r>
        <w:t xml:space="preserve"> Probabilité d'apparition de la panne.</w:t>
      </w:r>
    </w:p>
    <w:p>
      <w:pPr>
        <w:pStyle w:val="ListBullet"/>
        <w:spacing w:before="20" w:after="60" w:line="276" w:lineRule="auto"/>
      </w:pPr>
      <w:r>
        <w:rPr>
          <w:b/>
        </w:rPr>
        <w:t>Non-détection ($D$) :</w:t>
      </w:r>
      <w:r>
        <w:t xml:space="preserve"> Difficulté à détecter la panne avant arrêt.</w:t>
      </w:r>
    </w:p>
    <w:p>
      <w:pPr>
        <w:pStyle w:val="ListNumber"/>
        <w:spacing w:before="20" w:after="60" w:line="276" w:lineRule="auto"/>
      </w:pPr>
      <w:r>
        <w:rPr>
          <w:b/>
        </w:rPr>
        <w:t>Étape 4 — Interpréter le score NPR :</w:t>
      </w:r>
    </w:p>
    <w:p>
      <w:pPr>
        <w:pStyle w:val="ListBullet"/>
        <w:spacing w:before="20" w:after="60" w:line="276" w:lineRule="auto"/>
      </w:pPr>
      <w:r>
        <w:t xml:space="preserve">L'application calcule </w:t>
      </w:r>
      <w:r>
        <w:rPr>
          <w:i/>
          <w:color w:val="2F3874"/>
        </w:rPr>
        <w:t>NPR = G \times F \times D</w:t>
      </w:r>
      <w:r>
        <w:t xml:space="preserve">. Si </w:t>
      </w:r>
      <w:r>
        <w:rPr>
          <w:i/>
          <w:color w:val="2F3874"/>
        </w:rPr>
        <w:t>NPR \ge 100</w:t>
      </w:r>
      <w:r>
        <w:t>, la ligne passe au rouge (Criticité Haute A).</w:t>
      </w:r>
    </w:p>
    <w:p>
      <w:pPr>
        <w:spacing w:before="240" w:after="80"/>
      </w:pPr>
      <w:r>
        <w:rPr>
          <w:rFonts w:ascii="Segoe UI" w:hAnsi="Segoe UI"/>
          <w:b/>
          <w:color w:val="2F3874"/>
          <w:sz w:val="23"/>
        </w:rPr>
        <w:t>✅ Résultat obtenu :</w:t>
      </w:r>
    </w:p>
    <w:p>
      <w:pPr>
        <w:spacing w:before="40" w:after="100" w:line="276" w:lineRule="auto"/>
      </w:pPr>
      <w:r>
        <w:t>Priorisation scientifique des actions préventives sur les équipements les plus vulnérables.</w:t>
      </w:r>
    </w:p>
    <w:p>
      <w:pPr>
        <w:spacing w:before="320" w:after="120"/>
      </w:pPr>
      <w:r>
        <w:rPr>
          <w:rFonts w:ascii="Segoe UI" w:hAnsi="Segoe UI"/>
          <w:b/>
          <w:color w:val="B92721"/>
          <w:sz w:val="27"/>
        </w:rPr>
        <w:t>6.7 Guide 7 — Calendrier et suivi de la maintenance préventive</w:t>
      </w:r>
    </w:p>
    <w:p>
      <w:pPr>
        <w:spacing w:before="240" w:after="80"/>
        <w:jc w:val="center"/>
      </w:pPr>
      <w:r>
        <w:drawing>
          <wp:inline xmlns:a="http://schemas.openxmlformats.org/drawingml/2006/main" xmlns:pic="http://schemas.openxmlformats.org/drawingml/2006/picture">
            <wp:extent cx="5486400" cy="3360420"/>
            <wp:docPr id="28" name="Picture 28"/>
            <wp:cNvGraphicFramePr>
              <a:graphicFrameLocks noChangeAspect="1"/>
            </wp:cNvGraphicFramePr>
            <a:graphic>
              <a:graphicData uri="http://schemas.openxmlformats.org/drawingml/2006/picture">
                <pic:pic>
                  <pic:nvPicPr>
                    <pic:cNvPr id="0" name="screenshot_preventif.png"/>
                    <pic:cNvPicPr/>
                  </pic:nvPicPr>
                  <pic:blipFill>
                    <a:blip r:embed="rId37"/>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6.7 — Interface du Plan de Maintenance Préventive et planning des révisions</w:t>
      </w:r>
    </w:p>
    <w:p>
      <w:pPr>
        <w:spacing w:before="40" w:after="100" w:line="276" w:lineRule="auto"/>
      </w:pPr>
      <w:r>
        <w:rPr>
          <w:b/>
        </w:rPr>
        <w:t>Figure 6.7 — Interface du Plan de Maintenance Préventive et planning des révisions</w:t>
      </w:r>
    </w:p>
    <w:p>
      <w:pPr>
        <w:spacing w:before="240" w:after="80"/>
      </w:pPr>
      <w:r>
        <w:rPr>
          <w:rFonts w:ascii="Segoe UI" w:hAnsi="Segoe UI"/>
          <w:b/>
          <w:color w:val="2F3874"/>
          <w:sz w:val="23"/>
        </w:rPr>
        <w:t>🎯 Rôle du module :</w:t>
      </w:r>
    </w:p>
    <w:p>
      <w:pPr>
        <w:spacing w:before="40" w:after="100" w:line="276" w:lineRule="auto"/>
      </w:pPr>
      <w:r>
        <w:t>Planifier et exécuter les révisions périodiques recommandées par les constructeurs (nettoyage mensuel, vidange, calibration).</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Visualiser l'échéancier :</w:t>
      </w:r>
      <w:r>
        <w:t xml:space="preserve"> Ouvrir le module </w:t>
      </w:r>
      <w:r>
        <w:rPr>
          <w:b/>
        </w:rPr>
        <w:t>"Plan Préventif"</w:t>
      </w:r>
      <w:r>
        <w:t xml:space="preserve"> pour consulter les interventions prévues.</w:t>
      </w:r>
    </w:p>
    <w:p>
      <w:pPr>
        <w:pStyle w:val="ListNumber"/>
        <w:spacing w:before="20" w:after="60" w:line="276" w:lineRule="auto"/>
      </w:pPr>
      <w:r>
        <w:rPr>
          <w:b/>
        </w:rPr>
        <w:t>Étape 2 — Repérer les urgences :</w:t>
      </w:r>
    </w:p>
    <w:p>
      <w:pPr>
        <w:pStyle w:val="ListBullet"/>
        <w:spacing w:before="20" w:after="60" w:line="276" w:lineRule="auto"/>
      </w:pPr>
      <w:r>
        <w:t>Les tâches dont l'échéance est inférieure à 5 jours sont signalées par une alerte d'échéance proche.</w:t>
      </w:r>
    </w:p>
    <w:p>
      <w:pPr>
        <w:pStyle w:val="ListNumber"/>
        <w:spacing w:before="20" w:after="60" w:line="276" w:lineRule="auto"/>
      </w:pPr>
      <w:r>
        <w:rPr>
          <w:b/>
        </w:rPr>
        <w:t>Étape 3 — Exécuter la gamme préventive :</w:t>
      </w:r>
    </w:p>
    <w:p>
      <w:pPr>
        <w:pStyle w:val="ListBullet"/>
        <w:spacing w:before="20" w:after="60" w:line="276" w:lineRule="auto"/>
      </w:pPr>
      <w:r>
        <w:t>Consulter la liste des points de contrôle à vérifier sur la machine.</w:t>
      </w:r>
    </w:p>
    <w:p>
      <w:pPr>
        <w:pStyle w:val="ListNumber"/>
        <w:spacing w:before="20" w:after="60" w:line="276" w:lineRule="auto"/>
      </w:pPr>
      <w:r>
        <w:rPr>
          <w:b/>
        </w:rPr>
        <w:t>Étape 4 — Valider l'opération :</w:t>
      </w:r>
    </w:p>
    <w:p>
      <w:pPr>
        <w:pStyle w:val="ListBullet"/>
        <w:spacing w:before="20" w:after="60" w:line="276" w:lineRule="auto"/>
      </w:pPr>
      <w:r>
        <w:t xml:space="preserve">Cliquer sur </w:t>
      </w:r>
      <w:r>
        <w:rPr>
          <w:b/>
        </w:rPr>
        <w:t>"Marquer comme Réalisé"</w:t>
      </w:r>
      <w:r>
        <w:t>. L'application met automatiquement à jour la date de prochaine échéance.</w:t>
      </w:r>
    </w:p>
    <w:p>
      <w:pPr>
        <w:spacing w:before="240" w:after="80"/>
      </w:pPr>
      <w:r>
        <w:rPr>
          <w:rFonts w:ascii="Segoe UI" w:hAnsi="Segoe UI"/>
          <w:b/>
          <w:color w:val="2F3874"/>
          <w:sz w:val="23"/>
        </w:rPr>
        <w:t>✅ Résultat obtenu :</w:t>
      </w:r>
    </w:p>
    <w:p>
      <w:pPr>
        <w:spacing w:before="40" w:after="100" w:line="276" w:lineRule="auto"/>
      </w:pPr>
      <w:r>
        <w:t>Réduction significative des pannes brutales et prolongation de la durée de vie des équipements.</w:t>
      </w:r>
    </w:p>
    <w:p>
      <w:pPr>
        <w:spacing w:before="320" w:after="120"/>
      </w:pPr>
      <w:r>
        <w:rPr>
          <w:rFonts w:ascii="Segoe UI" w:hAnsi="Segoe UI"/>
          <w:b/>
          <w:color w:val="B92721"/>
          <w:sz w:val="27"/>
        </w:rPr>
        <w:t>6.8 Guide 8 — Consultation de la Gestion Électronique de Documents (GED)</w:t>
      </w:r>
    </w:p>
    <w:p>
      <w:pPr>
        <w:spacing w:before="240" w:after="80"/>
        <w:jc w:val="center"/>
      </w:pPr>
      <w:r>
        <w:drawing>
          <wp:inline xmlns:a="http://schemas.openxmlformats.org/drawingml/2006/main" xmlns:pic="http://schemas.openxmlformats.org/drawingml/2006/picture">
            <wp:extent cx="5486400" cy="3360420"/>
            <wp:docPr id="29" name="Picture 29"/>
            <wp:cNvGraphicFramePr>
              <a:graphicFrameLocks noChangeAspect="1"/>
            </wp:cNvGraphicFramePr>
            <a:graphic>
              <a:graphicData uri="http://schemas.openxmlformats.org/drawingml/2006/picture">
                <pic:pic>
                  <pic:nvPicPr>
                    <pic:cNvPr id="0" name="screenshot_documents.png"/>
                    <pic:cNvPicPr/>
                  </pic:nvPicPr>
                  <pic:blipFill>
                    <a:blip r:embed="rId38"/>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6.8 — Interface de Gestion Électronique de Documents (GED)</w:t>
      </w:r>
    </w:p>
    <w:p>
      <w:pPr>
        <w:spacing w:before="40" w:after="100" w:line="276" w:lineRule="auto"/>
      </w:pPr>
      <w:r>
        <w:rPr>
          <w:b/>
        </w:rPr>
        <w:t>Figure 6.8 — Interface de Gestion Électronique de Documents (GED)</w:t>
      </w:r>
    </w:p>
    <w:p>
      <w:pPr>
        <w:spacing w:before="240" w:after="80"/>
      </w:pPr>
      <w:r>
        <w:rPr>
          <w:rFonts w:ascii="Segoe UI" w:hAnsi="Segoe UI"/>
          <w:b/>
          <w:color w:val="2F3874"/>
          <w:sz w:val="23"/>
        </w:rPr>
        <w:t>🎯 Rôle du module :</w:t>
      </w:r>
    </w:p>
    <w:p>
      <w:pPr>
        <w:spacing w:before="40" w:after="100" w:line="276" w:lineRule="auto"/>
      </w:pPr>
      <w:r>
        <w:t>Rendre accessible en un clic l'ensemble des notices constructeurs, schémas électriques et consignes de sécurité du laboratoire.</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Accéder à la bibliothèque :</w:t>
      </w:r>
      <w:r>
        <w:t xml:space="preserve"> Cliquer sur </w:t>
      </w:r>
      <w:r>
        <w:rPr>
          <w:b/>
        </w:rPr>
        <w:t>"GED &amp; Documents"</w:t>
      </w:r>
      <w:r>
        <w:t xml:space="preserve"> dans le menu principal.</w:t>
      </w:r>
    </w:p>
    <w:p>
      <w:pPr>
        <w:pStyle w:val="ListNumber"/>
        <w:spacing w:before="20" w:after="60" w:line="276" w:lineRule="auto"/>
      </w:pPr>
      <w:r>
        <w:rPr>
          <w:b/>
        </w:rPr>
        <w:t>Étape 2 — Filtrer par machine :</w:t>
      </w:r>
      <w:r>
        <w:t xml:space="preserve"> Sélectionner l'équipement souhaité (ex: </w:t>
      </w:r>
      <w:r>
        <w:rPr>
          <w:i/>
        </w:rPr>
        <w:t>Raise3D E2CF</w:t>
      </w:r>
      <w:r>
        <w:t xml:space="preserve"> ou </w:t>
      </w:r>
      <w:r>
        <w:rPr>
          <w:i/>
        </w:rPr>
        <w:t>Trotec Speedy 100</w:t>
      </w:r>
      <w:r>
        <w:t>).</w:t>
      </w:r>
    </w:p>
    <w:p>
      <w:pPr>
        <w:pStyle w:val="ListNumber"/>
        <w:spacing w:before="20" w:after="60" w:line="276" w:lineRule="auto"/>
      </w:pPr>
      <w:r>
        <w:rPr>
          <w:b/>
        </w:rPr>
        <w:t>Étape 3 — Télécharger la notice :</w:t>
      </w:r>
      <w:r>
        <w:t xml:space="preserve"> Cliquer sur le bouton </w:t>
      </w:r>
      <w:r>
        <w:rPr>
          <w:b/>
        </w:rPr>
        <w:t>"Consulter PDF"</w:t>
      </w:r>
      <w:r>
        <w:t xml:space="preserve"> pour ouvrir le manuel utilisateur original.</w:t>
      </w:r>
    </w:p>
    <w:p>
      <w:pPr>
        <w:spacing w:before="240" w:after="80"/>
      </w:pPr>
      <w:r>
        <w:rPr>
          <w:rFonts w:ascii="Segoe UI" w:hAnsi="Segoe UI"/>
          <w:b/>
          <w:color w:val="2F3874"/>
          <w:sz w:val="23"/>
        </w:rPr>
        <w:t>✅ Résultat obtenu :</w:t>
      </w:r>
    </w:p>
    <w:p>
      <w:pPr>
        <w:spacing w:before="40" w:after="100" w:line="276" w:lineRule="auto"/>
      </w:pPr>
      <w:r>
        <w:t>Accès immédiat à la documentation technique sur le terrain lors des réparations.</w:t>
      </w:r>
    </w:p>
    <w:p>
      <w:pPr>
        <w:spacing w:before="320" w:after="120"/>
      </w:pPr>
      <w:r>
        <w:rPr>
          <w:rFonts w:ascii="Segoe UI" w:hAnsi="Segoe UI"/>
          <w:b/>
          <w:color w:val="B92721"/>
          <w:sz w:val="27"/>
        </w:rPr>
        <w:t>6.9 Guide 9 — Administration des Utilisateurs et Rôles d'accès</w:t>
      </w:r>
    </w:p>
    <w:p>
      <w:pPr>
        <w:spacing w:before="240" w:after="80"/>
        <w:jc w:val="center"/>
      </w:pPr>
      <w:r>
        <w:drawing>
          <wp:inline xmlns:a="http://schemas.openxmlformats.org/drawingml/2006/main" xmlns:pic="http://schemas.openxmlformats.org/drawingml/2006/picture">
            <wp:extent cx="5486400" cy="3360420"/>
            <wp:docPr id="30" name="Picture 30"/>
            <wp:cNvGraphicFramePr>
              <a:graphicFrameLocks noChangeAspect="1"/>
            </wp:cNvGraphicFramePr>
            <a:graphic>
              <a:graphicData uri="http://schemas.openxmlformats.org/drawingml/2006/picture">
                <pic:pic>
                  <pic:nvPicPr>
                    <pic:cNvPr id="0" name="screenshot_audit_logs.png"/>
                    <pic:cNvPicPr/>
                  </pic:nvPicPr>
                  <pic:blipFill>
                    <a:blip r:embed="rId39"/>
                    <a:stretch>
                      <a:fillRect/>
                    </a:stretch>
                  </pic:blipFill>
                  <pic:spPr>
                    <a:xfrm>
                      <a:off x="0" y="0"/>
                      <a:ext cx="5486400" cy="3360420"/>
                    </a:xfrm>
                    <a:prstGeom prst="rect"/>
                  </pic:spPr>
                </pic:pic>
              </a:graphicData>
            </a:graphic>
          </wp:inline>
        </w:drawing>
      </w:r>
    </w:p>
    <w:p>
      <w:pPr>
        <w:spacing w:before="40" w:after="280"/>
        <w:jc w:val="center"/>
      </w:pPr>
      <w:r>
        <w:rPr>
          <w:rFonts w:ascii="Segoe UI" w:hAnsi="Segoe UI"/>
          <w:b/>
          <w:i/>
          <w:color w:val="2F3874"/>
          <w:sz w:val="19"/>
        </w:rPr>
        <w:t>Figure 6.9 — Interface du Journal d'Audit et traçabilité des actions utilisateurs</w:t>
      </w:r>
    </w:p>
    <w:p>
      <w:pPr>
        <w:spacing w:before="40" w:after="100" w:line="276" w:lineRule="auto"/>
      </w:pPr>
      <w:r>
        <w:rPr>
          <w:b/>
        </w:rPr>
        <w:t>Figure 6.9 — Interface de Gestion des Utilisateurs et Droits d'Accès</w:t>
      </w:r>
    </w:p>
    <w:p>
      <w:pPr>
        <w:spacing w:before="240" w:after="80"/>
      </w:pPr>
      <w:r>
        <w:rPr>
          <w:rFonts w:ascii="Segoe UI" w:hAnsi="Segoe UI"/>
          <w:b/>
          <w:color w:val="2F3874"/>
          <w:sz w:val="23"/>
        </w:rPr>
        <w:t>🎯 Rôle du module :</w:t>
      </w:r>
    </w:p>
    <w:p>
      <w:pPr>
        <w:spacing w:before="40" w:after="100" w:line="276" w:lineRule="auto"/>
      </w:pPr>
      <w:r>
        <w:t>Gérer les comptes des utilisateurs (Superviseur, Ingénieur, Technicien, Étudiant) et attribuer les droits d'accès.</w:t>
      </w:r>
    </w:p>
    <w:p>
      <w:pPr>
        <w:spacing w:before="240" w:after="80"/>
      </w:pPr>
      <w:r>
        <w:rPr>
          <w:rFonts w:ascii="Segoe UI" w:hAnsi="Segoe UI"/>
          <w:b/>
          <w:color w:val="2F3874"/>
          <w:sz w:val="23"/>
        </w:rPr>
        <w:t>📋 Procédure d'utilisation pas-à-pas :</w:t>
      </w:r>
    </w:p>
    <w:p>
      <w:pPr>
        <w:pStyle w:val="ListNumber"/>
        <w:spacing w:before="20" w:after="60" w:line="276" w:lineRule="auto"/>
      </w:pPr>
      <w:r>
        <w:rPr>
          <w:b/>
        </w:rPr>
        <w:t>Étape 1 — Ouvrir la gestion des utilisateurs :</w:t>
      </w:r>
      <w:r>
        <w:t xml:space="preserve"> Cliquer sur </w:t>
      </w:r>
      <w:r>
        <w:rPr>
          <w:b/>
        </w:rPr>
        <w:t>"Utilisateurs &amp; Profils"</w:t>
      </w:r>
      <w:r>
        <w:t>.</w:t>
      </w:r>
    </w:p>
    <w:p>
      <w:pPr>
        <w:pStyle w:val="ListNumber"/>
        <w:spacing w:before="20" w:after="60" w:line="276" w:lineRule="auto"/>
      </w:pPr>
      <w:r>
        <w:rPr>
          <w:b/>
        </w:rPr>
        <w:t>Étape 2 — Créer un nouveau compte :</w:t>
      </w:r>
      <w:r>
        <w:t xml:space="preserve"> Saisir le nom, l'email et assigner le rôle approprié.</w:t>
      </w:r>
    </w:p>
    <w:p>
      <w:pPr>
        <w:pStyle w:val="ListNumber"/>
        <w:spacing w:before="20" w:after="60" w:line="276" w:lineRule="auto"/>
      </w:pPr>
      <w:r>
        <w:rPr>
          <w:b/>
        </w:rPr>
        <w:t>Étape 3 — Modifier les privilèges :</w:t>
      </w:r>
      <w:r>
        <w:t xml:space="preserve"> Activer ou désactiver les droits d'écriture sur le stock et les interventions.</w:t>
      </w:r>
    </w:p>
    <w:p>
      <w:pPr>
        <w:spacing w:before="240" w:after="80"/>
      </w:pPr>
      <w:r>
        <w:rPr>
          <w:rFonts w:ascii="Segoe UI" w:hAnsi="Segoe UI"/>
          <w:b/>
          <w:color w:val="2F3874"/>
          <w:sz w:val="23"/>
        </w:rPr>
        <w:t>✅ Résultat obtenu :</w:t>
      </w:r>
    </w:p>
    <w:p>
      <w:pPr>
        <w:spacing w:before="40" w:after="100" w:line="276" w:lineRule="auto"/>
      </w:pPr>
      <w:r>
        <w:t>Sécurisation des accès et traçabilité des opérations effectuées par chaque utilisateur.</w:t>
      </w:r>
    </w:p>
    <w:p>
      <w:r>
        <w:br w:type="page"/>
      </w:r>
    </w:p>
    <w:p>
      <w:pPr>
        <w:spacing w:before="480" w:after="280"/>
        <w:jc w:val="center"/>
        <w:pBdr>
          <w:top w:val="single" w:sz="12" w:space="6" w:color="B92721"/>
          <w:bottom w:val="single" w:sz="18" w:space="6" w:color="2F3874"/>
        </w:pBdr>
      </w:pPr>
      <w:r>
        <w:rPr>
          <w:rFonts w:ascii="Segoe UI" w:hAnsi="Segoe UI"/>
          <w:b/>
          <w:color w:val="2F3874"/>
          <w:sz w:val="36"/>
        </w:rPr>
        <w:t>CHAPITRE 7 — RÉSULTATS OBTENUS ET PERSPECTIVES D'ÉVOLUTION</w:t>
      </w:r>
    </w:p>
    <w:p>
      <w:pPr>
        <w:spacing w:before="320" w:after="120"/>
      </w:pPr>
      <w:r>
        <w:rPr>
          <w:rFonts w:ascii="Segoe UI" w:hAnsi="Segoe UI"/>
          <w:b/>
          <w:color w:val="B92721"/>
          <w:sz w:val="27"/>
        </w:rPr>
        <w:t>7.1 Bilan du travail réalisé et apports pour le Fab Lab</w:t>
      </w:r>
    </w:p>
    <w:p>
      <w:pPr>
        <w:pStyle w:val="ListBullet"/>
        <w:spacing w:before="20" w:after="60" w:line="276" w:lineRule="auto"/>
      </w:pPr>
      <w:r>
        <w:t>Centralisation des données de maintenance.</w:t>
      </w:r>
    </w:p>
    <w:p>
      <w:pPr>
        <w:pStyle w:val="ListBullet"/>
        <w:spacing w:before="20" w:after="60" w:line="276" w:lineRule="auto"/>
      </w:pPr>
      <w:r>
        <w:t>Numérisation des formulaires et auto-génération PDF.</w:t>
      </w:r>
    </w:p>
    <w:p>
      <w:pPr>
        <w:pStyle w:val="ListBullet"/>
        <w:spacing w:before="20" w:after="60" w:line="276" w:lineRule="auto"/>
      </w:pPr>
      <w:r>
        <w:t>Traçabilité et maîtrise du stock de pièces de rechange.</w:t>
      </w:r>
    </w:p>
    <w:p>
      <w:pPr>
        <w:spacing w:before="320" w:after="120"/>
      </w:pPr>
      <w:r>
        <w:rPr>
          <w:rFonts w:ascii="Segoe UI" w:hAnsi="Segoe UI"/>
          <w:b/>
          <w:color w:val="B92721"/>
          <w:sz w:val="27"/>
        </w:rPr>
        <w:t>7.2 Limites actuelles du système</w:t>
      </w:r>
    </w:p>
    <w:p>
      <w:pPr>
        <w:pStyle w:val="ListBullet"/>
        <w:spacing w:before="20" w:after="60" w:line="276" w:lineRule="auto"/>
      </w:pPr>
      <w:r>
        <w:t>Authentification locale simulée.</w:t>
      </w:r>
    </w:p>
    <w:p>
      <w:pPr>
        <w:pStyle w:val="ListBullet"/>
        <w:spacing w:before="20" w:after="60" w:line="276" w:lineRule="auto"/>
      </w:pPr>
      <w:r>
        <w:t>Saisie manuelle des heures de marche.</w:t>
      </w:r>
    </w:p>
    <w:p>
      <w:pPr>
        <w:spacing w:before="320" w:after="120"/>
      </w:pPr>
      <w:r>
        <w:rPr>
          <w:rFonts w:ascii="Segoe UI" w:hAnsi="Segoe UI"/>
          <w:b/>
          <w:color w:val="B92721"/>
          <w:sz w:val="27"/>
        </w:rPr>
        <w:t>7.3 Perspectives d'amélioration futures</w:t>
      </w:r>
    </w:p>
    <w:p>
      <w:pPr>
        <w:pStyle w:val="ListBullet"/>
        <w:spacing w:before="20" w:after="60" w:line="276" w:lineRule="auto"/>
      </w:pPr>
      <w:r>
        <w:t>Intégration de capteurs IoT sur les machines CNC.</w:t>
      </w:r>
    </w:p>
    <w:p>
      <w:pPr>
        <w:pStyle w:val="ListBullet"/>
        <w:spacing w:before="20" w:after="60" w:line="276" w:lineRule="auto"/>
      </w:pPr>
      <w:r>
        <w:t>Flashage de QR Codes par tablette sur le terrain.</w:t>
      </w:r>
    </w:p>
    <w:p>
      <w:r>
        <w:br w:type="page"/>
      </w:r>
    </w:p>
    <w:p>
      <w:pPr>
        <w:spacing w:before="480" w:after="280"/>
        <w:jc w:val="center"/>
        <w:pBdr>
          <w:top w:val="single" w:sz="12" w:space="6" w:color="B92721"/>
          <w:bottom w:val="single" w:sz="18" w:space="6" w:color="2F3874"/>
        </w:pBdr>
      </w:pPr>
      <w:r>
        <w:rPr>
          <w:rFonts w:ascii="Segoe UI" w:hAnsi="Segoe UI"/>
          <w:b/>
          <w:color w:val="2F3874"/>
          <w:sz w:val="36"/>
        </w:rPr>
        <w:t>CONCLUSION GÉNÉRALE</w:t>
      </w:r>
    </w:p>
    <w:p>
      <w:pPr>
        <w:spacing w:before="40" w:after="100" w:line="276" w:lineRule="auto"/>
      </w:pPr>
      <w:r>
        <w:t>Ce stage technicien m'a permis de développer une solution de GMAO fonctionnelle, moderne et adaptée aux besoins réels du Fab Lab Universiapolis.</w:t>
      </w:r>
    </w:p>
    <w:sectPr w:rsidR="00FC693F" w:rsidRPr="0006063C" w:rsidSect="00034616">
      <w:headerReference w:type="default" r:id="rId9"/>
      <w:footerReference w:type="default" r:id="rId10"/>
      <w:pgSz w:w="12240" w:h="15840"/>
      <w:pgMar w:top="1411" w:right="1411" w:bottom="1411" w:left="141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Pr>
    <w:r>
      <w:rPr>
        <w:rFonts w:ascii="Calibri" w:hAnsi="Calibri"/>
        <w:color w:val="475569"/>
        <w:sz w:val="20"/>
      </w:rPr>
      <w:t xml:space="preserve">Page </w:t>
    </w:r>
    <w:r>
      <w:rPr>
        <w:rFonts w:ascii="Calibri" w:hAnsi="Calibri"/>
        <w:b/>
        <w:color w:val="2F3874"/>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2" w:color="CBD5E1"/>
      </w:pBdr>
    </w:pPr>
    <w:r>
      <w:rPr>
        <w:rFonts w:ascii="Segoe UI" w:hAnsi="Segoe UI"/>
        <w:b/>
        <w:color w:val="B92721"/>
        <w:sz w:val="17"/>
      </w:rPr>
      <w:t>UNIVERSIAPOLIS  |  ÉCOLE POLYTECHNIQUE  |  FAB LAB UNIVERSIAPOLIS</w:t>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